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4F31E" w14:textId="4BDD5C1E" w:rsidR="00A85830" w:rsidRDefault="00A85830" w:rsidP="003A1378">
      <w:pPr>
        <w:jc w:val="both"/>
        <w:rPr>
          <w:rFonts w:ascii="Arial" w:hAnsi="Arial" w:cs="Arial"/>
          <w:b/>
          <w:sz w:val="18"/>
          <w:szCs w:val="18"/>
        </w:rPr>
      </w:pPr>
      <w:r w:rsidRPr="003A1378">
        <w:rPr>
          <w:rFonts w:ascii="Arial" w:hAnsi="Arial" w:cs="Arial"/>
          <w:b/>
          <w:sz w:val="18"/>
          <w:szCs w:val="18"/>
        </w:rPr>
        <w:t>SUPPLEMENTARY MATERIALS</w:t>
      </w:r>
    </w:p>
    <w:p w14:paraId="1A1E2D6A" w14:textId="4B1901D9" w:rsidR="005B342D" w:rsidRDefault="005B342D">
      <w:pPr>
        <w:rPr>
          <w:rFonts w:ascii="Arial" w:hAnsi="Arial" w:cs="Arial"/>
          <w:b/>
          <w:sz w:val="18"/>
          <w:szCs w:val="18"/>
        </w:rPr>
      </w:pPr>
    </w:p>
    <w:p w14:paraId="1968CCC2" w14:textId="77777777" w:rsidR="001E1424" w:rsidRDefault="001E1424">
      <w:pPr>
        <w:rPr>
          <w:rFonts w:ascii="Arial" w:hAnsi="Arial" w:cs="Arial"/>
          <w:b/>
          <w:sz w:val="18"/>
          <w:szCs w:val="18"/>
        </w:rPr>
      </w:pPr>
    </w:p>
    <w:p w14:paraId="6F41F10A" w14:textId="6103849B" w:rsidR="00B90B25" w:rsidRDefault="00B90B25">
      <w:pPr>
        <w:rPr>
          <w:rFonts w:ascii="Arial" w:hAnsi="Arial" w:cs="Arial"/>
          <w:b/>
          <w:sz w:val="18"/>
          <w:szCs w:val="18"/>
        </w:rPr>
      </w:pPr>
      <w:r>
        <w:rPr>
          <w:rFonts w:ascii="Arial" w:hAnsi="Arial" w:cs="Arial"/>
          <w:b/>
          <w:sz w:val="18"/>
          <w:szCs w:val="18"/>
        </w:rPr>
        <w:t>Supplementary Methods</w:t>
      </w:r>
    </w:p>
    <w:p w14:paraId="5F0308BF" w14:textId="12736A72" w:rsidR="00B90B25" w:rsidRDefault="00B90B25">
      <w:pPr>
        <w:rPr>
          <w:rFonts w:ascii="Arial" w:hAnsi="Arial" w:cs="Arial"/>
          <w:b/>
          <w:sz w:val="18"/>
          <w:szCs w:val="18"/>
        </w:rPr>
      </w:pPr>
    </w:p>
    <w:p w14:paraId="12DDA86A" w14:textId="77777777" w:rsidR="00B90B25" w:rsidRDefault="00B90B25" w:rsidP="00B90B25">
      <w:pPr>
        <w:jc w:val="both"/>
        <w:rPr>
          <w:rFonts w:ascii="Arial" w:hAnsi="Arial" w:cs="Arial"/>
          <w:b/>
          <w:sz w:val="18"/>
          <w:szCs w:val="18"/>
        </w:rPr>
      </w:pPr>
      <w:r w:rsidRPr="005901C9">
        <w:rPr>
          <w:rFonts w:ascii="Arial" w:hAnsi="Arial" w:cs="Arial"/>
          <w:b/>
          <w:sz w:val="18"/>
          <w:szCs w:val="18"/>
        </w:rPr>
        <w:t>Pre-clinical evaluation (</w:t>
      </w:r>
      <w:r>
        <w:rPr>
          <w:rFonts w:ascii="Arial" w:hAnsi="Arial" w:cs="Arial"/>
          <w:b/>
          <w:sz w:val="18"/>
          <w:szCs w:val="18"/>
        </w:rPr>
        <w:t>P</w:t>
      </w:r>
      <w:r w:rsidRPr="005901C9">
        <w:rPr>
          <w:rFonts w:ascii="Arial" w:hAnsi="Arial" w:cs="Arial"/>
          <w:b/>
          <w:sz w:val="18"/>
          <w:szCs w:val="18"/>
        </w:rPr>
        <w:t>hase 2 evaluation)</w:t>
      </w:r>
    </w:p>
    <w:p w14:paraId="70C74FD5" w14:textId="5C92B210" w:rsidR="00B90B25" w:rsidRDefault="00B90B25">
      <w:pPr>
        <w:rPr>
          <w:rFonts w:ascii="Arial" w:hAnsi="Arial" w:cs="Arial"/>
          <w:b/>
          <w:sz w:val="18"/>
          <w:szCs w:val="18"/>
        </w:rPr>
      </w:pPr>
    </w:p>
    <w:p w14:paraId="7F873CD6" w14:textId="67F7DA01" w:rsidR="004B543C" w:rsidRDefault="004B543C" w:rsidP="00B90B25">
      <w:pPr>
        <w:spacing w:after="160"/>
        <w:jc w:val="both"/>
        <w:rPr>
          <w:rFonts w:ascii="Arial" w:hAnsi="Arial" w:cs="Arial"/>
          <w:color w:val="000000"/>
          <w:sz w:val="18"/>
          <w:szCs w:val="18"/>
        </w:rPr>
      </w:pPr>
      <w:r w:rsidRPr="006076C7">
        <w:rPr>
          <w:rFonts w:ascii="Arial" w:hAnsi="Arial" w:cs="Arial"/>
          <w:color w:val="000000"/>
          <w:sz w:val="18"/>
          <w:szCs w:val="18"/>
        </w:rPr>
        <w:t xml:space="preserve">Pre-clinical evaluation of </w:t>
      </w:r>
      <w:r>
        <w:rPr>
          <w:rFonts w:ascii="Arial" w:hAnsi="Arial" w:cs="Arial"/>
          <w:color w:val="000000"/>
          <w:sz w:val="18"/>
          <w:szCs w:val="18"/>
        </w:rPr>
        <w:t>candidate</w:t>
      </w:r>
      <w:r w:rsidRPr="006076C7">
        <w:rPr>
          <w:rFonts w:ascii="Arial" w:hAnsi="Arial" w:cs="Arial"/>
          <w:color w:val="000000"/>
          <w:sz w:val="18"/>
          <w:szCs w:val="18"/>
        </w:rPr>
        <w:t xml:space="preserve"> LFDs was performed by trained laboratory scientists at Public Health England (PHE) Porton Down. LFDs were evaluated against</w:t>
      </w:r>
      <w:r w:rsidRPr="00217BF3">
        <w:t xml:space="preserve"> </w:t>
      </w:r>
      <w:r w:rsidRPr="00217BF3">
        <w:rPr>
          <w:rFonts w:ascii="Arial" w:hAnsi="Arial" w:cs="Arial"/>
          <w:color w:val="000000"/>
          <w:sz w:val="18"/>
          <w:szCs w:val="18"/>
        </w:rPr>
        <w:t>SARS-CoV-2</w:t>
      </w:r>
      <w:r w:rsidRPr="006076C7">
        <w:rPr>
          <w:rFonts w:ascii="Arial" w:hAnsi="Arial" w:cs="Arial"/>
          <w:color w:val="000000"/>
          <w:sz w:val="18"/>
          <w:szCs w:val="18"/>
        </w:rPr>
        <w:t xml:space="preserve"> </w:t>
      </w:r>
      <w:r>
        <w:rPr>
          <w:rFonts w:ascii="Arial" w:hAnsi="Arial" w:cs="Arial"/>
          <w:color w:val="000000"/>
          <w:sz w:val="18"/>
          <w:szCs w:val="18"/>
        </w:rPr>
        <w:t xml:space="preserve">spiked positive controls and </w:t>
      </w:r>
      <w:r w:rsidRPr="006076C7">
        <w:rPr>
          <w:rFonts w:ascii="Arial" w:hAnsi="Arial" w:cs="Arial"/>
          <w:color w:val="000000"/>
          <w:sz w:val="18"/>
          <w:szCs w:val="18"/>
        </w:rPr>
        <w:t xml:space="preserve">known negative controls, consisting of saliva collected from healthy adult </w:t>
      </w:r>
      <w:r>
        <w:rPr>
          <w:rFonts w:ascii="Arial" w:hAnsi="Arial" w:cs="Arial"/>
          <w:color w:val="000000"/>
          <w:sz w:val="18"/>
          <w:szCs w:val="18"/>
        </w:rPr>
        <w:t xml:space="preserve">staff </w:t>
      </w:r>
      <w:r w:rsidRPr="006076C7">
        <w:rPr>
          <w:rFonts w:ascii="Arial" w:hAnsi="Arial" w:cs="Arial"/>
          <w:color w:val="000000"/>
          <w:sz w:val="18"/>
          <w:szCs w:val="18"/>
        </w:rPr>
        <w:t xml:space="preserve">volunteers. Fresh saliva was confirmed as negative when screened for SARS-CoV-2 RNA by RT-PCR. </w:t>
      </w:r>
    </w:p>
    <w:p w14:paraId="274ABFE8" w14:textId="7805547D" w:rsidR="00B90B25" w:rsidRPr="006076C7" w:rsidRDefault="00B90B25" w:rsidP="00B90B25">
      <w:pPr>
        <w:spacing w:after="160"/>
        <w:jc w:val="both"/>
      </w:pPr>
      <w:r w:rsidRPr="006076C7">
        <w:rPr>
          <w:rFonts w:ascii="Arial" w:hAnsi="Arial" w:cs="Arial"/>
          <w:color w:val="000000"/>
          <w:sz w:val="18"/>
          <w:szCs w:val="18"/>
        </w:rPr>
        <w:t xml:space="preserve">Unless otherwise stated, all </w:t>
      </w:r>
      <w:r>
        <w:rPr>
          <w:rFonts w:ascii="Arial" w:hAnsi="Arial" w:cs="Arial"/>
          <w:color w:val="000000"/>
          <w:sz w:val="18"/>
          <w:szCs w:val="18"/>
        </w:rPr>
        <w:t>RT-</w:t>
      </w:r>
      <w:r w:rsidRPr="006076C7">
        <w:rPr>
          <w:rFonts w:ascii="Arial" w:hAnsi="Arial" w:cs="Arial"/>
          <w:color w:val="000000"/>
          <w:sz w:val="18"/>
          <w:szCs w:val="18"/>
        </w:rPr>
        <w:t>PCR testing was undertaken on the Roche Cobas® 6800 or 8800 system using their proprietary SARS-CoV-2 assay as per manufacturer’s instructions (with off-board lysis using AVL buffer (Qiagen) and 5% Triton-X100 (Sigma Aldrich)</w:t>
      </w:r>
      <w:r>
        <w:rPr>
          <w:rFonts w:ascii="Arial" w:hAnsi="Arial" w:cs="Arial"/>
          <w:color w:val="000000"/>
          <w:sz w:val="18"/>
          <w:szCs w:val="18"/>
        </w:rPr>
        <w:t>)</w:t>
      </w:r>
      <w:r w:rsidRPr="006076C7">
        <w:rPr>
          <w:rFonts w:ascii="Arial" w:hAnsi="Arial" w:cs="Arial"/>
          <w:color w:val="000000"/>
          <w:sz w:val="18"/>
          <w:szCs w:val="18"/>
        </w:rPr>
        <w:t>.</w:t>
      </w:r>
      <w:r>
        <w:rPr>
          <w:rFonts w:ascii="Arial" w:hAnsi="Arial" w:cs="Arial"/>
          <w:color w:val="000000"/>
          <w:sz w:val="18"/>
          <w:szCs w:val="18"/>
        </w:rPr>
        <w:t xml:space="preserve"> This assay detects ORF-1a/b as a SARS-CoV-2 specific target, and the E-gene as a pan-sarbecovirus target. </w:t>
      </w:r>
    </w:p>
    <w:p w14:paraId="79B0DE93" w14:textId="452643FA" w:rsidR="00B90B25" w:rsidRDefault="00B90B25" w:rsidP="00B90B25">
      <w:pPr>
        <w:jc w:val="both"/>
        <w:rPr>
          <w:rFonts w:ascii="Arial" w:hAnsi="Arial" w:cs="Arial"/>
          <w:color w:val="000000"/>
          <w:sz w:val="18"/>
          <w:szCs w:val="18"/>
        </w:rPr>
      </w:pPr>
      <w:r w:rsidRPr="006076C7">
        <w:rPr>
          <w:rFonts w:ascii="Arial" w:hAnsi="Arial" w:cs="Arial"/>
          <w:color w:val="000000"/>
          <w:sz w:val="18"/>
          <w:szCs w:val="18"/>
        </w:rPr>
        <w:t xml:space="preserve">Positive and negative samples were processed in Class III and Class I microbiological safety cabinets, respectively. Each sample was tested on each LFD according to the manufacturer’s instructions. </w:t>
      </w:r>
      <w:r>
        <w:rPr>
          <w:rFonts w:ascii="Arial" w:hAnsi="Arial" w:cs="Arial"/>
          <w:color w:val="000000"/>
          <w:sz w:val="18"/>
          <w:szCs w:val="18"/>
        </w:rPr>
        <w:t>For</w:t>
      </w:r>
      <w:r w:rsidRPr="006076C7">
        <w:rPr>
          <w:rFonts w:ascii="Arial" w:hAnsi="Arial" w:cs="Arial"/>
          <w:color w:val="000000"/>
          <w:sz w:val="18"/>
          <w:szCs w:val="18"/>
        </w:rPr>
        <w:t xml:space="preserve"> LFDs </w:t>
      </w:r>
      <w:r>
        <w:rPr>
          <w:rFonts w:ascii="Arial" w:hAnsi="Arial" w:cs="Arial"/>
          <w:color w:val="000000"/>
          <w:sz w:val="18"/>
          <w:szCs w:val="18"/>
        </w:rPr>
        <w:t>designed to be used with</w:t>
      </w:r>
      <w:r w:rsidRPr="006076C7">
        <w:rPr>
          <w:rFonts w:ascii="Arial" w:hAnsi="Arial" w:cs="Arial"/>
          <w:color w:val="000000"/>
          <w:sz w:val="18"/>
          <w:szCs w:val="18"/>
        </w:rPr>
        <w:t xml:space="preserve"> swab samples, 200uL of saliva was mixed with the LFD extraction buffer directly. To establish preliminary analytical specificity, we tested each LFD against negative samples from 71 healthy volunteers. To establish preliminary analytical </w:t>
      </w:r>
      <w:r>
        <w:rPr>
          <w:rFonts w:ascii="Arial" w:hAnsi="Arial" w:cs="Arial"/>
          <w:color w:val="000000"/>
          <w:sz w:val="18"/>
          <w:szCs w:val="18"/>
        </w:rPr>
        <w:t>limits of detection (LOD)</w:t>
      </w:r>
      <w:r w:rsidRPr="006076C7">
        <w:rPr>
          <w:rFonts w:ascii="Arial" w:hAnsi="Arial" w:cs="Arial"/>
          <w:color w:val="000000"/>
          <w:sz w:val="18"/>
          <w:szCs w:val="18"/>
        </w:rPr>
        <w:t xml:space="preserve">, we tested each LFD against </w:t>
      </w:r>
      <w:r>
        <w:rPr>
          <w:rFonts w:ascii="Arial" w:hAnsi="Arial" w:cs="Arial"/>
          <w:color w:val="000000"/>
          <w:sz w:val="18"/>
          <w:szCs w:val="18"/>
        </w:rPr>
        <w:t>saliva spiked with SARS-CoV-2 as follows:</w:t>
      </w:r>
      <w:r w:rsidRPr="006076C7">
        <w:rPr>
          <w:rFonts w:ascii="Arial" w:hAnsi="Arial" w:cs="Arial"/>
          <w:color w:val="000000"/>
          <w:sz w:val="18"/>
          <w:szCs w:val="18"/>
        </w:rPr>
        <w:t xml:space="preserve"> </w:t>
      </w:r>
      <w:r>
        <w:rPr>
          <w:rFonts w:ascii="Arial" w:hAnsi="Arial" w:cs="Arial"/>
          <w:color w:val="000000"/>
          <w:sz w:val="18"/>
          <w:szCs w:val="18"/>
        </w:rPr>
        <w:t>S</w:t>
      </w:r>
      <w:r w:rsidRPr="006076C7">
        <w:rPr>
          <w:rFonts w:ascii="Arial" w:hAnsi="Arial" w:cs="Arial"/>
          <w:color w:val="000000"/>
          <w:sz w:val="18"/>
          <w:szCs w:val="18"/>
        </w:rPr>
        <w:t>aliva from 15 SARS-CoV-2</w:t>
      </w:r>
      <w:r>
        <w:rPr>
          <w:rFonts w:ascii="Arial" w:hAnsi="Arial" w:cs="Arial"/>
          <w:color w:val="000000"/>
          <w:sz w:val="18"/>
          <w:szCs w:val="18"/>
        </w:rPr>
        <w:t xml:space="preserve"> PCR-</w:t>
      </w:r>
      <w:r w:rsidRPr="006076C7">
        <w:rPr>
          <w:rFonts w:ascii="Arial" w:hAnsi="Arial" w:cs="Arial"/>
          <w:color w:val="000000"/>
          <w:sz w:val="18"/>
          <w:szCs w:val="18"/>
        </w:rPr>
        <w:t xml:space="preserve">negative individuals (selected from the 71 negative samples described above) </w:t>
      </w:r>
      <w:r>
        <w:rPr>
          <w:rFonts w:ascii="Arial" w:hAnsi="Arial" w:cs="Arial"/>
          <w:color w:val="000000"/>
          <w:sz w:val="18"/>
          <w:szCs w:val="18"/>
        </w:rPr>
        <w:t>was</w:t>
      </w:r>
      <w:r w:rsidRPr="006076C7">
        <w:rPr>
          <w:rFonts w:ascii="Arial" w:hAnsi="Arial" w:cs="Arial"/>
          <w:color w:val="000000"/>
          <w:sz w:val="18"/>
          <w:szCs w:val="18"/>
        </w:rPr>
        <w:t xml:space="preserve"> spiked with SARS-CoV-2 virus stock (7.8x10</w:t>
      </w:r>
      <w:r w:rsidRPr="00B13ABF">
        <w:rPr>
          <w:rFonts w:ascii="Arial" w:hAnsi="Arial" w:cs="Arial"/>
          <w:color w:val="000000"/>
          <w:sz w:val="18"/>
          <w:szCs w:val="18"/>
          <w:vertAlign w:val="superscript"/>
        </w:rPr>
        <w:t>6</w:t>
      </w:r>
      <w:r w:rsidRPr="006076C7">
        <w:rPr>
          <w:rFonts w:ascii="Arial" w:hAnsi="Arial" w:cs="Arial"/>
          <w:color w:val="000000"/>
          <w:sz w:val="18"/>
          <w:szCs w:val="18"/>
        </w:rPr>
        <w:t xml:space="preserve"> plaque-forming units [pfu]/mL (VIC/1/2020</w:t>
      </w:r>
      <w:r>
        <w:rPr>
          <w:rFonts w:ascii="Arial" w:hAnsi="Arial" w:cs="Arial"/>
          <w:color w:val="000000"/>
          <w:sz w:val="18"/>
          <w:szCs w:val="18"/>
        </w:rPr>
        <w:t xml:space="preserve">) </w:t>
      </w:r>
      <w:r w:rsidRPr="006076C7">
        <w:rPr>
          <w:rFonts w:ascii="Arial" w:hAnsi="Arial" w:cs="Arial"/>
          <w:color w:val="000000"/>
          <w:sz w:val="18"/>
          <w:szCs w:val="18"/>
        </w:rPr>
        <w:t xml:space="preserve">and serially diluted in the saliva from each individual </w:t>
      </w:r>
      <w:r>
        <w:rPr>
          <w:rFonts w:ascii="Arial" w:hAnsi="Arial" w:cs="Arial"/>
          <w:color w:val="000000"/>
          <w:sz w:val="18"/>
          <w:szCs w:val="18"/>
        </w:rPr>
        <w:t>yielding</w:t>
      </w:r>
      <w:r w:rsidRPr="006076C7">
        <w:rPr>
          <w:rFonts w:ascii="Arial" w:hAnsi="Arial" w:cs="Arial"/>
          <w:color w:val="000000"/>
          <w:sz w:val="18"/>
          <w:szCs w:val="18"/>
        </w:rPr>
        <w:t xml:space="preserve"> 10</w:t>
      </w:r>
      <w:r w:rsidRPr="00B13ABF">
        <w:rPr>
          <w:rFonts w:ascii="Arial" w:hAnsi="Arial" w:cs="Arial"/>
          <w:color w:val="000000"/>
          <w:sz w:val="18"/>
          <w:szCs w:val="18"/>
          <w:vertAlign w:val="superscript"/>
        </w:rPr>
        <w:t>5</w:t>
      </w:r>
      <w:r w:rsidRPr="006076C7">
        <w:rPr>
          <w:rFonts w:ascii="Arial" w:hAnsi="Arial" w:cs="Arial"/>
          <w:color w:val="000000"/>
          <w:sz w:val="18"/>
          <w:szCs w:val="18"/>
        </w:rPr>
        <w:t>, 10</w:t>
      </w:r>
      <w:r w:rsidRPr="00B13ABF">
        <w:rPr>
          <w:rFonts w:ascii="Arial" w:hAnsi="Arial" w:cs="Arial"/>
          <w:color w:val="000000"/>
          <w:sz w:val="18"/>
          <w:szCs w:val="18"/>
          <w:vertAlign w:val="superscript"/>
        </w:rPr>
        <w:t>4</w:t>
      </w:r>
      <w:r w:rsidRPr="006076C7">
        <w:rPr>
          <w:rFonts w:ascii="Arial" w:hAnsi="Arial" w:cs="Arial"/>
          <w:color w:val="000000"/>
          <w:sz w:val="18"/>
          <w:szCs w:val="18"/>
        </w:rPr>
        <w:t>, 10</w:t>
      </w:r>
      <w:r w:rsidRPr="00B13ABF">
        <w:rPr>
          <w:rFonts w:ascii="Arial" w:hAnsi="Arial" w:cs="Arial"/>
          <w:color w:val="000000"/>
          <w:sz w:val="18"/>
          <w:szCs w:val="18"/>
          <w:vertAlign w:val="superscript"/>
        </w:rPr>
        <w:t>3</w:t>
      </w:r>
      <w:r w:rsidRPr="006076C7">
        <w:rPr>
          <w:rFonts w:ascii="Arial" w:hAnsi="Arial" w:cs="Arial"/>
          <w:color w:val="000000"/>
          <w:sz w:val="18"/>
          <w:szCs w:val="18"/>
        </w:rPr>
        <w:t xml:space="preserve"> and 10</w:t>
      </w:r>
      <w:r w:rsidRPr="00B13ABF">
        <w:rPr>
          <w:rFonts w:ascii="Arial" w:hAnsi="Arial" w:cs="Arial"/>
          <w:color w:val="000000"/>
          <w:sz w:val="18"/>
          <w:szCs w:val="18"/>
          <w:vertAlign w:val="superscript"/>
        </w:rPr>
        <w:t>2</w:t>
      </w:r>
      <w:r w:rsidRPr="006076C7">
        <w:rPr>
          <w:rFonts w:ascii="Arial" w:hAnsi="Arial" w:cs="Arial"/>
          <w:color w:val="000000"/>
          <w:sz w:val="22"/>
          <w:szCs w:val="22"/>
        </w:rPr>
        <w:t xml:space="preserve"> </w:t>
      </w:r>
      <w:r w:rsidRPr="006076C7">
        <w:rPr>
          <w:rFonts w:ascii="Arial" w:hAnsi="Arial" w:cs="Arial"/>
          <w:color w:val="000000"/>
          <w:sz w:val="18"/>
          <w:szCs w:val="18"/>
        </w:rPr>
        <w:t>pfu/mL.</w:t>
      </w:r>
      <w:r>
        <w:rPr>
          <w:rFonts w:ascii="Arial" w:hAnsi="Arial" w:cs="Arial"/>
          <w:color w:val="000000"/>
          <w:sz w:val="18"/>
          <w:szCs w:val="18"/>
        </w:rPr>
        <w:t xml:space="preserve"> Fifteen samples per titre were tested.</w:t>
      </w:r>
      <w:r w:rsidRPr="006076C7">
        <w:rPr>
          <w:rFonts w:ascii="Arial" w:hAnsi="Arial" w:cs="Arial"/>
          <w:color w:val="000000"/>
          <w:sz w:val="18"/>
          <w:szCs w:val="18"/>
        </w:rPr>
        <w:t xml:space="preserve"> </w:t>
      </w:r>
      <w:r>
        <w:rPr>
          <w:rFonts w:ascii="Arial" w:hAnsi="Arial" w:cs="Arial"/>
          <w:color w:val="000000"/>
          <w:sz w:val="18"/>
          <w:szCs w:val="18"/>
        </w:rPr>
        <w:t xml:space="preserve">A further dilution series down to 1.22 pfu/ml was performed as part of a positive extended dilution series. Viral copy numbers per titre </w:t>
      </w:r>
      <w:r w:rsidRPr="006076C7">
        <w:rPr>
          <w:rFonts w:ascii="Arial" w:hAnsi="Arial" w:cs="Arial"/>
          <w:color w:val="000000"/>
          <w:sz w:val="18"/>
          <w:szCs w:val="18"/>
        </w:rPr>
        <w:t xml:space="preserve">were </w:t>
      </w:r>
      <w:r>
        <w:rPr>
          <w:rFonts w:ascii="Arial" w:hAnsi="Arial" w:cs="Arial"/>
          <w:color w:val="000000"/>
          <w:sz w:val="18"/>
          <w:szCs w:val="18"/>
        </w:rPr>
        <w:t>quantified</w:t>
      </w:r>
      <w:r w:rsidRPr="006076C7">
        <w:rPr>
          <w:rFonts w:ascii="Arial" w:hAnsi="Arial" w:cs="Arial"/>
          <w:color w:val="000000"/>
          <w:sz w:val="18"/>
          <w:szCs w:val="18"/>
        </w:rPr>
        <w:t xml:space="preserve"> by RT-PCR.</w:t>
      </w:r>
      <w:r>
        <w:rPr>
          <w:rFonts w:ascii="Arial" w:hAnsi="Arial" w:cs="Arial"/>
          <w:color w:val="000000"/>
          <w:sz w:val="18"/>
          <w:szCs w:val="18"/>
        </w:rPr>
        <w:t xml:space="preserve"> If applicable, swab comparisons were also performed to ensure the different types of swabs provided were comparable.</w:t>
      </w:r>
    </w:p>
    <w:p w14:paraId="680A9C58" w14:textId="7A1CC397" w:rsidR="0006559D" w:rsidRDefault="0006559D" w:rsidP="00B90B25">
      <w:pPr>
        <w:jc w:val="both"/>
        <w:rPr>
          <w:rFonts w:ascii="Arial" w:hAnsi="Arial" w:cs="Arial"/>
          <w:color w:val="000000"/>
          <w:sz w:val="18"/>
          <w:szCs w:val="18"/>
        </w:rPr>
      </w:pPr>
    </w:p>
    <w:p w14:paraId="5BA63B6F" w14:textId="69817E3D" w:rsidR="0006559D" w:rsidRDefault="0006559D" w:rsidP="0006559D">
      <w:pPr>
        <w:jc w:val="both"/>
      </w:pPr>
      <w:r>
        <w:rPr>
          <w:rFonts w:ascii="Arial" w:hAnsi="Arial" w:cs="Arial"/>
          <w:color w:val="000000"/>
          <w:sz w:val="18"/>
          <w:szCs w:val="18"/>
        </w:rPr>
        <w:t xml:space="preserve">Pre-defined and </w:t>
      </w:r>
      <w:r w:rsidR="003A6852">
        <w:rPr>
          <w:rFonts w:ascii="Arial" w:hAnsi="Arial" w:cs="Arial"/>
          <w:color w:val="000000"/>
          <w:sz w:val="18"/>
          <w:szCs w:val="18"/>
        </w:rPr>
        <w:t>publicly</w:t>
      </w:r>
      <w:r>
        <w:rPr>
          <w:rFonts w:ascii="Arial" w:hAnsi="Arial" w:cs="Arial"/>
          <w:color w:val="000000"/>
          <w:sz w:val="18"/>
          <w:szCs w:val="18"/>
        </w:rPr>
        <w:t xml:space="preserve"> available “prioritisation” criteria to pass on to the next evaluation phase had to be met for LFDs, consisting of (i) a kit failure rate of &lt;10%; (ii) an analytical specificity of ≥97%, and (iii) an analytical LOD of </w:t>
      </w:r>
      <w:r w:rsidRPr="0049670F">
        <w:rPr>
          <w:rFonts w:ascii="Arial" w:hAnsi="Arial" w:cs="Arial"/>
          <w:color w:val="000000"/>
          <w:sz w:val="18"/>
          <w:szCs w:val="18"/>
          <w:u w:val="single"/>
        </w:rPr>
        <w:t>&gt;</w:t>
      </w:r>
      <w:r>
        <w:rPr>
          <w:rFonts w:ascii="Arial" w:hAnsi="Arial" w:cs="Arial"/>
          <w:color w:val="000000"/>
          <w:sz w:val="18"/>
          <w:szCs w:val="18"/>
        </w:rPr>
        <w:t xml:space="preserve">9 of 15 (60%) </w:t>
      </w:r>
      <w:r>
        <w:rPr>
          <w:rFonts w:ascii="Arial" w:hAnsi="Arial" w:cs="Arial"/>
          <w:color w:val="000000"/>
          <w:sz w:val="18"/>
          <w:szCs w:val="18"/>
          <w:shd w:val="clear" w:color="auto" w:fill="FFFFFF"/>
        </w:rPr>
        <w:t xml:space="preserve"> at 10</w:t>
      </w:r>
      <w:r w:rsidRPr="00B13ABF">
        <w:rPr>
          <w:rFonts w:ascii="Arial" w:hAnsi="Arial" w:cs="Arial"/>
          <w:color w:val="000000"/>
          <w:sz w:val="18"/>
          <w:szCs w:val="18"/>
          <w:shd w:val="clear" w:color="auto" w:fill="FFFFFF"/>
          <w:vertAlign w:val="superscript"/>
        </w:rPr>
        <w:t>2</w:t>
      </w:r>
      <w:r>
        <w:rPr>
          <w:rFonts w:ascii="Arial" w:hAnsi="Arial" w:cs="Arial"/>
          <w:color w:val="000000"/>
          <w:sz w:val="18"/>
          <w:szCs w:val="18"/>
          <w:shd w:val="clear" w:color="auto" w:fill="FFFFFF"/>
        </w:rPr>
        <w:t xml:space="preserve"> pfu/mL,</w:t>
      </w:r>
      <w:r>
        <w:rPr>
          <w:rFonts w:ascii="Arial" w:hAnsi="Arial" w:cs="Arial"/>
          <w:color w:val="000000"/>
          <w:sz w:val="18"/>
          <w:szCs w:val="18"/>
        </w:rPr>
        <w:t xml:space="preserve"> corresponding to a RT-PCR cycle threshold (Ct) of approximately 25; and (iv) lack of cross-reactivity with seasonal coronaviruses to further test analytical specificity. SARS-CoV-2</w:t>
      </w:r>
      <w:r>
        <w:rPr>
          <w:rFonts w:ascii="Arial" w:hAnsi="Arial" w:cs="Arial"/>
          <w:i/>
          <w:iCs/>
          <w:color w:val="000000"/>
          <w:sz w:val="18"/>
          <w:szCs w:val="18"/>
        </w:rPr>
        <w:t>-</w:t>
      </w:r>
      <w:r>
        <w:rPr>
          <w:rFonts w:ascii="Arial" w:hAnsi="Arial" w:cs="Arial"/>
          <w:color w:val="000000"/>
          <w:sz w:val="18"/>
          <w:szCs w:val="18"/>
        </w:rPr>
        <w:t xml:space="preserve">negative saliva samples from five individuals were spiked with seasonal coronavirus strains 229E, NL63 and OC43 at 1:10 dilution and 200µL of each sample analysed on LFDs. </w:t>
      </w:r>
    </w:p>
    <w:p w14:paraId="3C888013" w14:textId="77777777" w:rsidR="0006559D" w:rsidRPr="006076C7" w:rsidRDefault="0006559D" w:rsidP="00B90B25">
      <w:pPr>
        <w:jc w:val="both"/>
        <w:rPr>
          <w:rFonts w:ascii="Arial" w:hAnsi="Arial" w:cs="Arial"/>
          <w:color w:val="000000"/>
          <w:sz w:val="18"/>
          <w:szCs w:val="18"/>
        </w:rPr>
      </w:pPr>
    </w:p>
    <w:p w14:paraId="02C5FB90" w14:textId="62069A40" w:rsidR="00B90B25" w:rsidRDefault="00B90B25">
      <w:pPr>
        <w:rPr>
          <w:rFonts w:ascii="Arial" w:hAnsi="Arial" w:cs="Arial"/>
          <w:b/>
          <w:sz w:val="18"/>
          <w:szCs w:val="18"/>
        </w:rPr>
      </w:pPr>
    </w:p>
    <w:p w14:paraId="6F4070D9" w14:textId="33DE735F" w:rsidR="0006559D" w:rsidRPr="00D33CED" w:rsidRDefault="00B90B25" w:rsidP="00B90B25">
      <w:pPr>
        <w:spacing w:after="160"/>
        <w:jc w:val="both"/>
        <w:rPr>
          <w:rFonts w:ascii="Arial" w:hAnsi="Arial" w:cs="Arial"/>
          <w:b/>
          <w:bCs/>
          <w:color w:val="000000"/>
          <w:sz w:val="18"/>
          <w:szCs w:val="18"/>
        </w:rPr>
      </w:pPr>
      <w:r>
        <w:rPr>
          <w:rFonts w:ascii="Arial" w:hAnsi="Arial" w:cs="Arial"/>
          <w:b/>
          <w:bCs/>
          <w:color w:val="000000"/>
          <w:sz w:val="18"/>
          <w:szCs w:val="18"/>
        </w:rPr>
        <w:t>Retrospective s</w:t>
      </w:r>
      <w:r w:rsidRPr="00C547F0">
        <w:rPr>
          <w:rFonts w:ascii="Arial" w:hAnsi="Arial" w:cs="Arial"/>
          <w:b/>
          <w:bCs/>
          <w:color w:val="000000"/>
          <w:sz w:val="18"/>
          <w:szCs w:val="18"/>
        </w:rPr>
        <w:t xml:space="preserve">econdary </w:t>
      </w:r>
      <w:r>
        <w:rPr>
          <w:rFonts w:ascii="Arial" w:hAnsi="Arial" w:cs="Arial"/>
          <w:b/>
          <w:bCs/>
          <w:color w:val="000000"/>
          <w:sz w:val="18"/>
          <w:szCs w:val="18"/>
        </w:rPr>
        <w:t>c</w:t>
      </w:r>
      <w:r w:rsidRPr="00C547F0">
        <w:rPr>
          <w:rFonts w:ascii="Arial" w:hAnsi="Arial" w:cs="Arial"/>
          <w:b/>
          <w:bCs/>
          <w:color w:val="000000"/>
          <w:sz w:val="18"/>
          <w:szCs w:val="18"/>
        </w:rPr>
        <w:t>are evaluation (</w:t>
      </w:r>
      <w:r>
        <w:rPr>
          <w:rFonts w:ascii="Arial" w:hAnsi="Arial" w:cs="Arial"/>
          <w:b/>
          <w:bCs/>
          <w:color w:val="000000"/>
          <w:sz w:val="18"/>
          <w:szCs w:val="18"/>
        </w:rPr>
        <w:t>P</w:t>
      </w:r>
      <w:r w:rsidRPr="00C547F0">
        <w:rPr>
          <w:rFonts w:ascii="Arial" w:hAnsi="Arial" w:cs="Arial"/>
          <w:b/>
          <w:bCs/>
          <w:color w:val="000000"/>
          <w:sz w:val="18"/>
          <w:szCs w:val="18"/>
        </w:rPr>
        <w:t>hase 3a evaluation)</w:t>
      </w:r>
    </w:p>
    <w:p w14:paraId="387DCD5D" w14:textId="345AEE39" w:rsidR="0006559D" w:rsidRPr="0006559D" w:rsidRDefault="0006559D" w:rsidP="00B90B25">
      <w:pPr>
        <w:spacing w:after="160"/>
        <w:jc w:val="both"/>
        <w:rPr>
          <w:rFonts w:ascii="Arial" w:hAnsi="Arial" w:cs="Arial"/>
          <w:color w:val="000000"/>
          <w:sz w:val="18"/>
          <w:szCs w:val="18"/>
          <w:highlight w:val="yellow"/>
        </w:rPr>
      </w:pPr>
      <w:r>
        <w:rPr>
          <w:rFonts w:ascii="Arial" w:hAnsi="Arial" w:cs="Arial"/>
          <w:color w:val="000000"/>
          <w:sz w:val="18"/>
          <w:szCs w:val="18"/>
        </w:rPr>
        <w:t>E</w:t>
      </w:r>
      <w:r w:rsidRPr="00D865A8">
        <w:rPr>
          <w:rFonts w:ascii="Arial" w:hAnsi="Arial" w:cs="Arial"/>
          <w:color w:val="000000"/>
          <w:sz w:val="18"/>
          <w:szCs w:val="18"/>
        </w:rPr>
        <w:t xml:space="preserve">valuation </w:t>
      </w:r>
      <w:r>
        <w:rPr>
          <w:rFonts w:ascii="Arial" w:hAnsi="Arial" w:cs="Arial"/>
          <w:color w:val="000000"/>
          <w:sz w:val="18"/>
          <w:szCs w:val="18"/>
        </w:rPr>
        <w:t>using patient samples retrospectively</w:t>
      </w:r>
      <w:r w:rsidRPr="00D865A8">
        <w:rPr>
          <w:rFonts w:ascii="Arial" w:hAnsi="Arial" w:cs="Arial"/>
          <w:color w:val="000000"/>
          <w:sz w:val="18"/>
          <w:szCs w:val="18"/>
        </w:rPr>
        <w:t xml:space="preserve"> </w:t>
      </w:r>
      <w:r>
        <w:rPr>
          <w:rFonts w:ascii="Arial" w:hAnsi="Arial" w:cs="Arial"/>
          <w:color w:val="000000"/>
          <w:sz w:val="18"/>
          <w:szCs w:val="18"/>
        </w:rPr>
        <w:t>was started in August 2020</w:t>
      </w:r>
      <w:r w:rsidRPr="00D865A8">
        <w:rPr>
          <w:rFonts w:ascii="Arial" w:hAnsi="Arial" w:cs="Arial"/>
          <w:color w:val="000000"/>
          <w:sz w:val="18"/>
          <w:szCs w:val="18"/>
        </w:rPr>
        <w:t xml:space="preserve"> at PHE Porton Down</w:t>
      </w:r>
      <w:r>
        <w:rPr>
          <w:rFonts w:ascii="Arial" w:hAnsi="Arial" w:cs="Arial"/>
          <w:color w:val="000000"/>
          <w:sz w:val="18"/>
          <w:szCs w:val="18"/>
        </w:rPr>
        <w:t xml:space="preserve">. </w:t>
      </w:r>
      <w:r w:rsidRPr="00D865A8">
        <w:rPr>
          <w:rFonts w:ascii="Arial" w:hAnsi="Arial" w:cs="Arial"/>
          <w:color w:val="000000"/>
          <w:sz w:val="18"/>
          <w:szCs w:val="18"/>
        </w:rPr>
        <w:t>Samples were obtained from a secondary healthcare setting (Oxford University Hospitals NHS Foundation Trust). Test performance was assessed by testing naso- and oropharyngeal</w:t>
      </w:r>
      <w:r w:rsidRPr="00C547F0">
        <w:rPr>
          <w:rFonts w:ascii="Arial" w:hAnsi="Arial" w:cs="Arial"/>
          <w:color w:val="000000"/>
          <w:sz w:val="18"/>
          <w:szCs w:val="18"/>
        </w:rPr>
        <w:t xml:space="preserve"> swabs that had been placed in 1ml of viral transport medium (VTM) (Medical Wire</w:t>
      </w:r>
      <w:r>
        <w:rPr>
          <w:rFonts w:ascii="Arial" w:hAnsi="Arial" w:cs="Arial"/>
          <w:color w:val="000000"/>
          <w:sz w:val="18"/>
          <w:szCs w:val="18"/>
        </w:rPr>
        <w:t>). These samples were confirmed SARS-CoV-2-negative or positive by RT-PCR, as follows:</w:t>
      </w:r>
    </w:p>
    <w:p w14:paraId="422C371B" w14:textId="77777777" w:rsidR="00B90B25" w:rsidRDefault="00B90B25" w:rsidP="00B90B25">
      <w:pPr>
        <w:jc w:val="both"/>
        <w:rPr>
          <w:rFonts w:ascii="Arial" w:hAnsi="Arial" w:cs="Arial"/>
          <w:color w:val="000000"/>
          <w:sz w:val="18"/>
          <w:szCs w:val="18"/>
        </w:rPr>
      </w:pPr>
      <w:r w:rsidRPr="00C547F0">
        <w:rPr>
          <w:rFonts w:ascii="Arial" w:hAnsi="Arial" w:cs="Arial"/>
          <w:color w:val="000000"/>
          <w:sz w:val="18"/>
          <w:szCs w:val="18"/>
        </w:rPr>
        <w:t xml:space="preserve">A sample volume </w:t>
      </w:r>
      <w:r>
        <w:rPr>
          <w:rFonts w:ascii="Arial" w:hAnsi="Arial" w:cs="Arial"/>
          <w:color w:val="000000"/>
          <w:sz w:val="18"/>
          <w:szCs w:val="18"/>
        </w:rPr>
        <w:t xml:space="preserve">of </w:t>
      </w:r>
      <w:r w:rsidRPr="00C547F0">
        <w:rPr>
          <w:rFonts w:ascii="Arial" w:hAnsi="Arial" w:cs="Arial"/>
          <w:color w:val="000000"/>
          <w:sz w:val="18"/>
          <w:szCs w:val="18"/>
        </w:rPr>
        <w:t>100</w:t>
      </w:r>
      <w:r>
        <w:rPr>
          <w:rFonts w:ascii="Arial" w:hAnsi="Arial" w:cs="Arial"/>
          <w:color w:val="000000"/>
          <w:sz w:val="18"/>
          <w:szCs w:val="18"/>
        </w:rPr>
        <w:t>µ</w:t>
      </w:r>
      <w:r w:rsidRPr="00C547F0">
        <w:rPr>
          <w:rFonts w:ascii="Arial" w:hAnsi="Arial" w:cs="Arial"/>
          <w:color w:val="000000"/>
          <w:sz w:val="18"/>
          <w:szCs w:val="18"/>
        </w:rPr>
        <w:t xml:space="preserve">L was tested </w:t>
      </w:r>
      <w:r>
        <w:rPr>
          <w:rFonts w:ascii="Arial" w:hAnsi="Arial" w:cs="Arial"/>
          <w:color w:val="000000"/>
          <w:sz w:val="18"/>
          <w:szCs w:val="18"/>
        </w:rPr>
        <w:t>in</w:t>
      </w:r>
      <w:r w:rsidRPr="00C547F0">
        <w:rPr>
          <w:rFonts w:ascii="Arial" w:hAnsi="Arial" w:cs="Arial"/>
          <w:color w:val="000000"/>
          <w:sz w:val="18"/>
          <w:szCs w:val="18"/>
        </w:rPr>
        <w:t xml:space="preserve"> </w:t>
      </w:r>
      <w:r>
        <w:rPr>
          <w:rFonts w:ascii="Arial" w:hAnsi="Arial" w:cs="Arial"/>
          <w:color w:val="000000"/>
          <w:sz w:val="18"/>
          <w:szCs w:val="18"/>
        </w:rPr>
        <w:t>P</w:t>
      </w:r>
      <w:r w:rsidRPr="00C547F0">
        <w:rPr>
          <w:rFonts w:ascii="Arial" w:hAnsi="Arial" w:cs="Arial"/>
          <w:color w:val="000000"/>
          <w:sz w:val="18"/>
          <w:szCs w:val="18"/>
        </w:rPr>
        <w:t>hase 3a LFD evaluations and results were analysed to identify sensitivity</w:t>
      </w:r>
      <w:r>
        <w:rPr>
          <w:rFonts w:ascii="Arial" w:hAnsi="Arial" w:cs="Arial"/>
          <w:color w:val="000000"/>
          <w:sz w:val="18"/>
          <w:szCs w:val="18"/>
        </w:rPr>
        <w:t xml:space="preserve"> and specificity. </w:t>
      </w:r>
      <w:r w:rsidRPr="00C547F0">
        <w:rPr>
          <w:rFonts w:ascii="Arial" w:hAnsi="Arial" w:cs="Arial"/>
          <w:color w:val="000000"/>
          <w:sz w:val="18"/>
          <w:szCs w:val="18"/>
        </w:rPr>
        <w:t xml:space="preserve"> </w:t>
      </w:r>
      <w:r>
        <w:rPr>
          <w:rFonts w:ascii="Arial" w:hAnsi="Arial" w:cs="Arial"/>
          <w:color w:val="000000"/>
          <w:sz w:val="18"/>
          <w:szCs w:val="18"/>
        </w:rPr>
        <w:t xml:space="preserve">The sensitivity for </w:t>
      </w:r>
      <w:r w:rsidRPr="00C547F0">
        <w:rPr>
          <w:rFonts w:ascii="Arial" w:hAnsi="Arial" w:cs="Arial"/>
          <w:color w:val="000000"/>
          <w:sz w:val="18"/>
          <w:szCs w:val="18"/>
        </w:rPr>
        <w:t xml:space="preserve">viral antigen detection </w:t>
      </w:r>
      <w:r>
        <w:rPr>
          <w:rFonts w:ascii="Arial" w:hAnsi="Arial" w:cs="Arial"/>
          <w:color w:val="000000"/>
          <w:sz w:val="18"/>
          <w:szCs w:val="18"/>
        </w:rPr>
        <w:t>was determined for strata of</w:t>
      </w:r>
      <w:r w:rsidRPr="00C547F0">
        <w:rPr>
          <w:rFonts w:ascii="Arial" w:hAnsi="Arial" w:cs="Arial"/>
          <w:color w:val="000000"/>
          <w:sz w:val="18"/>
          <w:szCs w:val="18"/>
        </w:rPr>
        <w:t xml:space="preserve"> Ct values</w:t>
      </w:r>
      <w:r>
        <w:rPr>
          <w:rFonts w:ascii="Arial" w:hAnsi="Arial" w:cs="Arial"/>
          <w:color w:val="000000"/>
          <w:sz w:val="18"/>
          <w:szCs w:val="18"/>
        </w:rPr>
        <w:t xml:space="preserve"> and associated viral loads.</w:t>
      </w:r>
      <w:r w:rsidRPr="00C547F0">
        <w:rPr>
          <w:rFonts w:ascii="Arial" w:hAnsi="Arial" w:cs="Arial"/>
          <w:color w:val="000000"/>
          <w:sz w:val="18"/>
          <w:szCs w:val="18"/>
        </w:rPr>
        <w:t xml:space="preserve"> </w:t>
      </w:r>
      <w:r>
        <w:rPr>
          <w:rFonts w:ascii="Arial" w:hAnsi="Arial" w:cs="Arial"/>
          <w:color w:val="000000"/>
          <w:sz w:val="18"/>
          <w:szCs w:val="18"/>
        </w:rPr>
        <w:t>Kit failures were also recorded.</w:t>
      </w:r>
      <w:r w:rsidRPr="00C547F0">
        <w:rPr>
          <w:rFonts w:ascii="Arial" w:hAnsi="Arial" w:cs="Arial"/>
          <w:color w:val="000000"/>
          <w:sz w:val="18"/>
          <w:szCs w:val="18"/>
        </w:rPr>
        <w:t xml:space="preserve"> Viral load (in RNA copies/m</w:t>
      </w:r>
      <w:r>
        <w:rPr>
          <w:rFonts w:ascii="Arial" w:hAnsi="Arial" w:cs="Arial"/>
          <w:color w:val="000000"/>
          <w:sz w:val="18"/>
          <w:szCs w:val="18"/>
        </w:rPr>
        <w:t>L</w:t>
      </w:r>
      <w:r w:rsidRPr="00C547F0">
        <w:rPr>
          <w:rFonts w:ascii="Arial" w:hAnsi="Arial" w:cs="Arial"/>
          <w:color w:val="000000"/>
          <w:sz w:val="18"/>
          <w:szCs w:val="18"/>
        </w:rPr>
        <w:t xml:space="preserve">) was </w:t>
      </w:r>
      <w:r>
        <w:rPr>
          <w:rFonts w:ascii="Arial" w:hAnsi="Arial" w:cs="Arial"/>
          <w:color w:val="000000"/>
          <w:sz w:val="18"/>
          <w:szCs w:val="18"/>
        </w:rPr>
        <w:t>quantified</w:t>
      </w:r>
      <w:r w:rsidRPr="00C547F0">
        <w:rPr>
          <w:rFonts w:ascii="Arial" w:hAnsi="Arial" w:cs="Arial"/>
          <w:color w:val="000000"/>
          <w:sz w:val="18"/>
          <w:szCs w:val="18"/>
        </w:rPr>
        <w:t xml:space="preserve"> from Ct values by using a conversion factor obtained using a dilution calibration series of synthetic genomic RNA (</w:t>
      </w:r>
      <w:r w:rsidRPr="00C547F0">
        <w:rPr>
          <w:rFonts w:ascii="Arial" w:hAnsi="Arial" w:cs="Arial"/>
          <w:i/>
          <w:iCs/>
          <w:color w:val="000000"/>
          <w:sz w:val="18"/>
          <w:szCs w:val="18"/>
        </w:rPr>
        <w:t>Twist Bioscience)</w:t>
      </w:r>
      <w:r w:rsidRPr="00C547F0">
        <w:rPr>
          <w:rFonts w:ascii="Arial" w:hAnsi="Arial" w:cs="Arial"/>
          <w:color w:val="000000"/>
          <w:sz w:val="18"/>
          <w:szCs w:val="18"/>
        </w:rPr>
        <w:t xml:space="preserve"> and </w:t>
      </w:r>
      <w:r>
        <w:rPr>
          <w:rFonts w:ascii="Arial" w:hAnsi="Arial" w:cs="Arial"/>
          <w:color w:val="000000"/>
          <w:sz w:val="18"/>
          <w:szCs w:val="18"/>
        </w:rPr>
        <w:t xml:space="preserve">a standard curve </w:t>
      </w:r>
      <w:r w:rsidRPr="00C547F0">
        <w:rPr>
          <w:rFonts w:ascii="Arial" w:hAnsi="Arial" w:cs="Arial"/>
          <w:color w:val="000000"/>
          <w:sz w:val="18"/>
          <w:szCs w:val="18"/>
        </w:rPr>
        <w:t>performed using Altona and Taqpath ORF and S target assays</w:t>
      </w:r>
      <w:r>
        <w:rPr>
          <w:rFonts w:ascii="Arial" w:hAnsi="Arial" w:cs="Arial"/>
          <w:color w:val="000000"/>
          <w:sz w:val="18"/>
          <w:szCs w:val="18"/>
        </w:rPr>
        <w:t xml:space="preserve">. </w:t>
      </w:r>
      <w:r>
        <w:rPr>
          <w:rFonts w:ascii="Arial" w:hAnsi="Arial" w:cs="Arial"/>
          <w:sz w:val="18"/>
          <w:szCs w:val="18"/>
        </w:rPr>
        <w:t xml:space="preserve">Viral load conversion to RNA copies/mL was performed using the following equation derived from prior </w:t>
      </w:r>
      <w:r w:rsidRPr="003F19F3">
        <w:rPr>
          <w:rFonts w:ascii="Arial" w:hAnsi="Arial" w:cs="Arial"/>
          <w:sz w:val="18"/>
          <w:szCs w:val="18"/>
        </w:rPr>
        <w:t>calibration curves</w:t>
      </w:r>
      <w:r>
        <w:rPr>
          <w:rFonts w:ascii="Arial" w:hAnsi="Arial" w:cs="Arial"/>
          <w:sz w:val="18"/>
          <w:szCs w:val="18"/>
        </w:rPr>
        <w:t>,</w:t>
      </w:r>
      <w:r w:rsidRPr="003F19F3">
        <w:rPr>
          <w:rFonts w:ascii="Arial" w:hAnsi="Arial" w:cs="Arial"/>
          <w:sz w:val="18"/>
          <w:szCs w:val="18"/>
        </w:rPr>
        <w:t xml:space="preserve"> logVL = 11.19-0.304*(d</w:t>
      </w:r>
      <w:r>
        <w:rPr>
          <w:rFonts w:ascii="Arial" w:hAnsi="Arial" w:cs="Arial"/>
          <w:sz w:val="18"/>
          <w:szCs w:val="18"/>
        </w:rPr>
        <w:t xml:space="preserve">elta </w:t>
      </w:r>
      <w:r w:rsidRPr="003F19F3">
        <w:rPr>
          <w:rFonts w:ascii="Arial" w:hAnsi="Arial" w:cs="Arial"/>
          <w:sz w:val="18"/>
          <w:szCs w:val="18"/>
        </w:rPr>
        <w:t>CT-4.4</w:t>
      </w:r>
      <w:r>
        <w:rPr>
          <w:rFonts w:ascii="Arial" w:hAnsi="Arial" w:cs="Arial"/>
          <w:sz w:val="18"/>
          <w:szCs w:val="18"/>
        </w:rPr>
        <w:t xml:space="preserve">). </w:t>
      </w:r>
    </w:p>
    <w:p w14:paraId="32587154" w14:textId="354ACC91" w:rsidR="00B90B25" w:rsidRDefault="00B90B25">
      <w:pPr>
        <w:rPr>
          <w:rFonts w:ascii="Arial" w:hAnsi="Arial" w:cs="Arial"/>
          <w:b/>
          <w:sz w:val="18"/>
          <w:szCs w:val="18"/>
        </w:rPr>
      </w:pPr>
    </w:p>
    <w:p w14:paraId="7FD62C04" w14:textId="77777777" w:rsidR="00B90B25" w:rsidRPr="00C547F0" w:rsidRDefault="00B90B25" w:rsidP="00B90B25">
      <w:pPr>
        <w:spacing w:after="160"/>
        <w:jc w:val="both"/>
      </w:pPr>
      <w:r w:rsidRPr="00C547F0">
        <w:rPr>
          <w:rFonts w:ascii="Arial" w:hAnsi="Arial" w:cs="Arial"/>
          <w:b/>
          <w:bCs/>
          <w:color w:val="000000"/>
          <w:sz w:val="18"/>
          <w:szCs w:val="18"/>
        </w:rPr>
        <w:t>Community research evaluation (</w:t>
      </w:r>
      <w:r>
        <w:rPr>
          <w:rFonts w:ascii="Arial" w:hAnsi="Arial" w:cs="Arial"/>
          <w:b/>
          <w:bCs/>
          <w:color w:val="000000"/>
          <w:sz w:val="18"/>
          <w:szCs w:val="18"/>
        </w:rPr>
        <w:t>P</w:t>
      </w:r>
      <w:r w:rsidRPr="00C547F0">
        <w:rPr>
          <w:rFonts w:ascii="Arial" w:hAnsi="Arial" w:cs="Arial"/>
          <w:b/>
          <w:bCs/>
          <w:color w:val="000000"/>
          <w:sz w:val="18"/>
          <w:szCs w:val="18"/>
        </w:rPr>
        <w:t>hase 3b evaluation)</w:t>
      </w:r>
    </w:p>
    <w:p w14:paraId="15E850EF" w14:textId="77777777" w:rsidR="00B90B25" w:rsidRPr="00B81324" w:rsidRDefault="00B90B25" w:rsidP="00B90B25">
      <w:pPr>
        <w:jc w:val="both"/>
        <w:rPr>
          <w:rFonts w:ascii="Arial" w:hAnsi="Arial" w:cs="Arial"/>
          <w:color w:val="000000"/>
          <w:sz w:val="18"/>
          <w:szCs w:val="18"/>
        </w:rPr>
      </w:pPr>
      <w:r>
        <w:rPr>
          <w:rFonts w:ascii="Arial" w:hAnsi="Arial" w:cs="Arial"/>
          <w:color w:val="000000"/>
          <w:sz w:val="18"/>
          <w:szCs w:val="18"/>
        </w:rPr>
        <w:t xml:space="preserve">Witnessed verbal consent by telephone was performed and participants were invited to attend one of fourteen drive-through testing centres in England. </w:t>
      </w:r>
      <w:r w:rsidRPr="00C547F0">
        <w:rPr>
          <w:rFonts w:ascii="Arial" w:hAnsi="Arial" w:cs="Arial"/>
          <w:color w:val="000000"/>
          <w:sz w:val="18"/>
          <w:szCs w:val="18"/>
          <w:shd w:val="clear" w:color="auto" w:fill="FFFFFF"/>
        </w:rPr>
        <w:t>Pa</w:t>
      </w:r>
      <w:r w:rsidRPr="00C547F0">
        <w:rPr>
          <w:rFonts w:ascii="Arial" w:hAnsi="Arial" w:cs="Arial"/>
          <w:color w:val="000000"/>
          <w:sz w:val="18"/>
          <w:szCs w:val="18"/>
        </w:rPr>
        <w:t>rticipants were required to return to the COVID-19 testing centre and self-collect paired swab samples, consisting of combined anterior nasal and oropharyngeal swabs (1 stored as a dry swab and 1 swab placed in VTM). Samples were stored at 4°C and analysis was performed at PHE Porton Down within 24 hours. LFDs were evaluated according to the manufacturer’s instruction</w:t>
      </w:r>
      <w:r>
        <w:rPr>
          <w:rFonts w:ascii="Arial" w:hAnsi="Arial" w:cs="Arial"/>
          <w:color w:val="000000"/>
          <w:sz w:val="18"/>
          <w:szCs w:val="18"/>
        </w:rPr>
        <w:t>s</w:t>
      </w:r>
      <w:r w:rsidRPr="00C547F0">
        <w:rPr>
          <w:rFonts w:ascii="Arial" w:hAnsi="Arial" w:cs="Arial"/>
          <w:color w:val="000000"/>
          <w:sz w:val="18"/>
          <w:szCs w:val="18"/>
        </w:rPr>
        <w:t xml:space="preserve"> using “dry swabs” and were also evaluated on VTM samples as per </w:t>
      </w:r>
      <w:r>
        <w:rPr>
          <w:rFonts w:ascii="Arial" w:hAnsi="Arial" w:cs="Arial"/>
          <w:color w:val="000000"/>
          <w:sz w:val="18"/>
          <w:szCs w:val="18"/>
        </w:rPr>
        <w:t>P</w:t>
      </w:r>
      <w:r w:rsidRPr="00C547F0">
        <w:rPr>
          <w:rFonts w:ascii="Arial" w:hAnsi="Arial" w:cs="Arial"/>
          <w:color w:val="000000"/>
          <w:sz w:val="18"/>
          <w:szCs w:val="18"/>
        </w:rPr>
        <w:t xml:space="preserve">hase 3a evaluations. </w:t>
      </w:r>
    </w:p>
    <w:p w14:paraId="0C758CA9" w14:textId="77777777" w:rsidR="00B90B25" w:rsidRDefault="00B90B25" w:rsidP="00B90B25">
      <w:pPr>
        <w:jc w:val="both"/>
        <w:rPr>
          <w:rFonts w:ascii="Arial" w:hAnsi="Arial" w:cs="Arial"/>
          <w:color w:val="000000"/>
          <w:sz w:val="18"/>
          <w:szCs w:val="18"/>
        </w:rPr>
      </w:pPr>
    </w:p>
    <w:p w14:paraId="1289FC24" w14:textId="77777777" w:rsidR="00B90B25" w:rsidRPr="00D865A8" w:rsidRDefault="00B90B25" w:rsidP="00B90B25">
      <w:pPr>
        <w:jc w:val="both"/>
        <w:rPr>
          <w:rFonts w:ascii="Arial" w:hAnsi="Arial" w:cs="Arial"/>
          <w:color w:val="000000"/>
          <w:sz w:val="18"/>
          <w:szCs w:val="18"/>
        </w:rPr>
      </w:pPr>
      <w:r>
        <w:rPr>
          <w:rFonts w:ascii="Arial" w:hAnsi="Arial" w:cs="Arial"/>
          <w:color w:val="000000"/>
          <w:sz w:val="18"/>
          <w:szCs w:val="18"/>
        </w:rPr>
        <w:t xml:space="preserve">For the </w:t>
      </w:r>
      <w:r w:rsidRPr="00D865A8">
        <w:rPr>
          <w:rFonts w:ascii="Arial" w:hAnsi="Arial" w:cs="Arial"/>
          <w:i/>
          <w:iCs/>
          <w:color w:val="000000"/>
          <w:sz w:val="18"/>
          <w:szCs w:val="18"/>
        </w:rPr>
        <w:t>Innova SARS-CoV-2 Antigen Rapid Qualitative Test</w:t>
      </w:r>
      <w:r>
        <w:rPr>
          <w:rFonts w:ascii="Arial" w:hAnsi="Arial" w:cs="Arial"/>
          <w:color w:val="000000"/>
          <w:sz w:val="18"/>
          <w:szCs w:val="18"/>
        </w:rPr>
        <w:t>, testing was</w:t>
      </w:r>
      <w:r w:rsidRPr="00C547F0">
        <w:rPr>
          <w:rFonts w:ascii="Arial" w:hAnsi="Arial" w:cs="Arial"/>
          <w:color w:val="000000"/>
          <w:sz w:val="18"/>
          <w:szCs w:val="18"/>
        </w:rPr>
        <w:t xml:space="preserve"> additionally performed for a subset of samples </w:t>
      </w:r>
      <w:r>
        <w:rPr>
          <w:rFonts w:ascii="Arial" w:hAnsi="Arial" w:cs="Arial"/>
          <w:color w:val="000000"/>
          <w:sz w:val="18"/>
          <w:szCs w:val="18"/>
        </w:rPr>
        <w:t xml:space="preserve">on-site </w:t>
      </w:r>
      <w:r w:rsidRPr="00C547F0">
        <w:rPr>
          <w:rFonts w:ascii="Arial" w:hAnsi="Arial" w:cs="Arial"/>
          <w:color w:val="000000"/>
          <w:sz w:val="18"/>
          <w:szCs w:val="18"/>
        </w:rPr>
        <w:t xml:space="preserve">at four COVID-19 testing centres by trained research staff using </w:t>
      </w:r>
      <w:r>
        <w:rPr>
          <w:rFonts w:ascii="Arial" w:hAnsi="Arial" w:cs="Arial"/>
          <w:color w:val="000000"/>
          <w:sz w:val="18"/>
          <w:szCs w:val="18"/>
        </w:rPr>
        <w:t xml:space="preserve">the </w:t>
      </w:r>
      <w:r w:rsidRPr="00C547F0">
        <w:rPr>
          <w:rFonts w:ascii="Arial" w:hAnsi="Arial" w:cs="Arial"/>
          <w:color w:val="000000"/>
          <w:sz w:val="18"/>
          <w:szCs w:val="18"/>
        </w:rPr>
        <w:t>“dry swabs” to evaluate “real-life”/diagnostic performance</w:t>
      </w:r>
      <w:r>
        <w:rPr>
          <w:rFonts w:ascii="Arial" w:hAnsi="Arial" w:cs="Arial"/>
          <w:color w:val="000000"/>
          <w:sz w:val="18"/>
          <w:szCs w:val="18"/>
        </w:rPr>
        <w:t xml:space="preserve">. </w:t>
      </w:r>
      <w:r w:rsidRPr="00C547F0">
        <w:rPr>
          <w:rFonts w:ascii="Arial" w:hAnsi="Arial" w:cs="Arial"/>
          <w:color w:val="000000"/>
          <w:sz w:val="18"/>
          <w:szCs w:val="18"/>
        </w:rPr>
        <w:t xml:space="preserve">The </w:t>
      </w:r>
      <w:r>
        <w:rPr>
          <w:rFonts w:ascii="Arial" w:hAnsi="Arial" w:cs="Arial"/>
          <w:color w:val="000000"/>
          <w:sz w:val="18"/>
          <w:szCs w:val="18"/>
        </w:rPr>
        <w:t xml:space="preserve">paired </w:t>
      </w:r>
      <w:r w:rsidRPr="00C547F0">
        <w:rPr>
          <w:rFonts w:ascii="Arial" w:hAnsi="Arial" w:cs="Arial"/>
          <w:color w:val="000000"/>
          <w:sz w:val="18"/>
          <w:szCs w:val="18"/>
        </w:rPr>
        <w:t>swab placed in VTM was used to determine viral load through RT-PCR</w:t>
      </w:r>
      <w:r>
        <w:rPr>
          <w:rFonts w:ascii="Arial" w:hAnsi="Arial" w:cs="Arial"/>
          <w:color w:val="000000"/>
          <w:sz w:val="18"/>
          <w:szCs w:val="18"/>
        </w:rPr>
        <w:t>, again at PHE Porton Down. Only individuals who had a SARS-CoV-2 infection confirmed by this paired PCR were included in the analysis</w:t>
      </w:r>
      <w:r w:rsidRPr="00C547F0">
        <w:rPr>
          <w:rFonts w:ascii="Arial" w:hAnsi="Arial" w:cs="Arial"/>
          <w:color w:val="000000"/>
          <w:sz w:val="18"/>
          <w:szCs w:val="18"/>
        </w:rPr>
        <w:t xml:space="preserve">. Analyses </w:t>
      </w:r>
      <w:r>
        <w:rPr>
          <w:rFonts w:ascii="Arial" w:hAnsi="Arial" w:cs="Arial"/>
          <w:color w:val="000000"/>
          <w:sz w:val="18"/>
          <w:szCs w:val="18"/>
        </w:rPr>
        <w:t>quantified</w:t>
      </w:r>
      <w:r w:rsidRPr="00C547F0">
        <w:rPr>
          <w:rFonts w:ascii="Arial" w:hAnsi="Arial" w:cs="Arial"/>
          <w:color w:val="000000"/>
          <w:sz w:val="18"/>
          <w:szCs w:val="18"/>
        </w:rPr>
        <w:t xml:space="preserve"> kit failure rat</w:t>
      </w:r>
      <w:r>
        <w:rPr>
          <w:rFonts w:ascii="Arial" w:hAnsi="Arial" w:cs="Arial"/>
          <w:color w:val="000000"/>
          <w:sz w:val="18"/>
          <w:szCs w:val="18"/>
        </w:rPr>
        <w:t xml:space="preserve">e and sensitivity. Sensitivity was quantified excluding results recorded as void/invalid due to kit failure. The Ct values recorded for the ORF-1 and E-gene generated on </w:t>
      </w:r>
      <w:r>
        <w:rPr>
          <w:rFonts w:ascii="Arial" w:hAnsi="Arial" w:cs="Arial"/>
          <w:color w:val="000000"/>
          <w:sz w:val="18"/>
          <w:szCs w:val="18"/>
        </w:rPr>
        <w:lastRenderedPageBreak/>
        <w:t>the Roche platform and a mean of the two were recorded. Where symptoms were available from participants, f</w:t>
      </w:r>
      <w:r w:rsidRPr="00C547F0">
        <w:rPr>
          <w:rFonts w:ascii="Arial" w:hAnsi="Arial" w:cs="Arial"/>
          <w:color w:val="000000"/>
          <w:sz w:val="18"/>
          <w:szCs w:val="18"/>
        </w:rPr>
        <w:t>urther analysis</w:t>
      </w:r>
      <w:r>
        <w:rPr>
          <w:rFonts w:ascii="Arial" w:hAnsi="Arial" w:cs="Arial"/>
          <w:color w:val="000000"/>
          <w:sz w:val="18"/>
          <w:szCs w:val="18"/>
        </w:rPr>
        <w:t xml:space="preserve"> </w:t>
      </w:r>
      <w:r w:rsidRPr="00C547F0">
        <w:rPr>
          <w:rFonts w:ascii="Arial" w:hAnsi="Arial" w:cs="Arial"/>
          <w:color w:val="000000"/>
          <w:sz w:val="18"/>
          <w:szCs w:val="18"/>
        </w:rPr>
        <w:t>was also performed assessing LFD performance in relation to clinical symptoms.</w:t>
      </w:r>
    </w:p>
    <w:p w14:paraId="1196B4A4" w14:textId="29D608E3" w:rsidR="00B90B25" w:rsidRDefault="00B90B25">
      <w:pPr>
        <w:rPr>
          <w:rFonts w:ascii="Arial" w:hAnsi="Arial" w:cs="Arial"/>
          <w:b/>
          <w:sz w:val="18"/>
          <w:szCs w:val="18"/>
        </w:rPr>
      </w:pPr>
    </w:p>
    <w:p w14:paraId="42444FD2" w14:textId="77777777" w:rsidR="00B90B25" w:rsidRDefault="00B90B25" w:rsidP="00B90B25">
      <w:pPr>
        <w:jc w:val="both"/>
        <w:rPr>
          <w:rFonts w:ascii="Arial" w:hAnsi="Arial" w:cs="Arial"/>
          <w:b/>
          <w:sz w:val="18"/>
          <w:szCs w:val="18"/>
        </w:rPr>
      </w:pPr>
      <w:r w:rsidRPr="00FA4597">
        <w:rPr>
          <w:rFonts w:ascii="Arial" w:hAnsi="Arial" w:cs="Arial"/>
          <w:b/>
          <w:sz w:val="18"/>
          <w:szCs w:val="18"/>
        </w:rPr>
        <w:t xml:space="preserve">Community </w:t>
      </w:r>
      <w:r>
        <w:rPr>
          <w:rFonts w:ascii="Arial" w:hAnsi="Arial" w:cs="Arial"/>
          <w:b/>
          <w:sz w:val="18"/>
          <w:szCs w:val="18"/>
        </w:rPr>
        <w:t xml:space="preserve">field </w:t>
      </w:r>
      <w:r w:rsidRPr="00FA4597">
        <w:rPr>
          <w:rFonts w:ascii="Arial" w:hAnsi="Arial" w:cs="Arial"/>
          <w:b/>
          <w:sz w:val="18"/>
          <w:szCs w:val="18"/>
        </w:rPr>
        <w:t>service evaluation (</w:t>
      </w:r>
      <w:r>
        <w:rPr>
          <w:rFonts w:ascii="Arial" w:hAnsi="Arial" w:cs="Arial"/>
          <w:b/>
          <w:sz w:val="18"/>
          <w:szCs w:val="18"/>
        </w:rPr>
        <w:t>P</w:t>
      </w:r>
      <w:r w:rsidRPr="00FA4597">
        <w:rPr>
          <w:rFonts w:ascii="Arial" w:hAnsi="Arial" w:cs="Arial"/>
          <w:b/>
          <w:sz w:val="18"/>
          <w:szCs w:val="18"/>
        </w:rPr>
        <w:t xml:space="preserve">hase </w:t>
      </w:r>
      <w:r>
        <w:rPr>
          <w:rFonts w:ascii="Arial" w:hAnsi="Arial" w:cs="Arial"/>
          <w:b/>
          <w:sz w:val="18"/>
          <w:szCs w:val="18"/>
        </w:rPr>
        <w:t>4</w:t>
      </w:r>
      <w:r w:rsidRPr="00FA4597">
        <w:rPr>
          <w:rFonts w:ascii="Arial" w:hAnsi="Arial" w:cs="Arial"/>
          <w:b/>
          <w:sz w:val="18"/>
          <w:szCs w:val="18"/>
        </w:rPr>
        <w:t xml:space="preserve"> evaluation)</w:t>
      </w:r>
    </w:p>
    <w:p w14:paraId="131FB3E0" w14:textId="7B466639" w:rsidR="00B90B25" w:rsidRDefault="00B90B25">
      <w:pPr>
        <w:rPr>
          <w:rFonts w:ascii="Arial" w:hAnsi="Arial" w:cs="Arial"/>
          <w:b/>
          <w:sz w:val="18"/>
          <w:szCs w:val="18"/>
        </w:rPr>
      </w:pPr>
    </w:p>
    <w:p w14:paraId="7EC01AAB" w14:textId="77777777" w:rsidR="00B90B25" w:rsidRPr="00275DA1" w:rsidRDefault="00B90B25" w:rsidP="00B90B25">
      <w:pPr>
        <w:pStyle w:val="NormalWeb"/>
        <w:spacing w:after="160"/>
        <w:jc w:val="both"/>
        <w:rPr>
          <w:rFonts w:ascii="Arial" w:hAnsi="Arial" w:cs="Arial"/>
          <w:color w:val="000000"/>
          <w:sz w:val="18"/>
          <w:szCs w:val="18"/>
        </w:rPr>
      </w:pPr>
      <w:r>
        <w:rPr>
          <w:rFonts w:ascii="Arial" w:hAnsi="Arial" w:cs="Arial"/>
          <w:color w:val="000000"/>
          <w:sz w:val="18"/>
          <w:szCs w:val="18"/>
        </w:rPr>
        <w:t xml:space="preserve">Wider field service evaluations were performed within a number of UK institutions and settings. These evaluations utilised the </w:t>
      </w:r>
      <w:r w:rsidRPr="00D865A8">
        <w:rPr>
          <w:rFonts w:ascii="Arial" w:hAnsi="Arial" w:cs="Arial"/>
          <w:i/>
          <w:iCs/>
          <w:color w:val="000000"/>
          <w:sz w:val="18"/>
          <w:szCs w:val="18"/>
        </w:rPr>
        <w:t>Innova SARS-CoV-2 Antigen Rapid Qualitative Test</w:t>
      </w:r>
      <w:r w:rsidRPr="00C547F0">
        <w:rPr>
          <w:rFonts w:ascii="Arial" w:hAnsi="Arial" w:cs="Arial"/>
          <w:color w:val="000000"/>
          <w:sz w:val="18"/>
          <w:szCs w:val="18"/>
        </w:rPr>
        <w:t>.</w:t>
      </w:r>
      <w:r>
        <w:rPr>
          <w:rFonts w:ascii="Arial" w:hAnsi="Arial" w:cs="Arial"/>
          <w:color w:val="000000"/>
          <w:sz w:val="18"/>
          <w:szCs w:val="18"/>
        </w:rPr>
        <w:t xml:space="preserve"> These institutions included a secondary healthcare setting (John Radcliffe Hospital, Oxford), PHE Porton Down, armed forces members (following an outbreak) and in secondary schools (pupils aged 11-18). Evaluations were also undertaken at regional COVID-19 testing centres as part of an NHS Test and Trace service evaluation involving the general public. The John Radcliffe Hospital, Oxford performed an evaluation as part of their asymptomatic staff screening service using the Respiratory Diagnostic Kit Evaluation (‘Red Kite’) study (</w:t>
      </w:r>
      <w:r>
        <w:rPr>
          <w:rFonts w:ascii="Arial" w:hAnsi="Arial" w:cs="Arial"/>
          <w:color w:val="000000"/>
          <w:sz w:val="18"/>
          <w:szCs w:val="18"/>
          <w:shd w:val="clear" w:color="auto" w:fill="FFFFFF"/>
        </w:rPr>
        <w:t xml:space="preserve">Research Ethics Committee reference: </w:t>
      </w:r>
      <w:r>
        <w:rPr>
          <w:rFonts w:ascii="Arial" w:hAnsi="Arial" w:cs="Arial"/>
          <w:color w:val="000000"/>
          <w:sz w:val="18"/>
          <w:szCs w:val="18"/>
        </w:rPr>
        <w:t>19/NW/0730; North West-Greater Manchester South Research Ethics Committee). All samples were self-collected, with participants following printed instructions for sampling. The test was then performed and interpreted by an “operator”.</w:t>
      </w:r>
      <w:r>
        <w:t xml:space="preserve"> </w:t>
      </w:r>
      <w:r>
        <w:rPr>
          <w:rFonts w:ascii="Arial" w:hAnsi="Arial" w:cs="Arial"/>
          <w:sz w:val="18"/>
          <w:szCs w:val="18"/>
        </w:rPr>
        <w:t xml:space="preserve">The schools, PHE staff and armed forces used an oropharyngeal sample, hospitals used a nasopharyngeal sample, all other field service evaluations utilised anterior nasal and combined oropharyngeal samples. </w:t>
      </w:r>
      <w:r w:rsidRPr="00C547F0">
        <w:rPr>
          <w:rFonts w:ascii="Arial" w:hAnsi="Arial" w:cs="Arial"/>
          <w:color w:val="000000"/>
          <w:sz w:val="18"/>
          <w:szCs w:val="18"/>
        </w:rPr>
        <w:t> With the exception of the armed forced outbreak which utilised swabs placed in VTM, dry swabs were used as per manufacturer’s instructions. Analyses were performed to identify kit failure rate, specificity, and viral antigen detection</w:t>
      </w:r>
      <w:r>
        <w:rPr>
          <w:rFonts w:ascii="Arial" w:hAnsi="Arial" w:cs="Arial"/>
          <w:color w:val="000000"/>
          <w:sz w:val="18"/>
          <w:szCs w:val="18"/>
        </w:rPr>
        <w:t>/sensitivity</w:t>
      </w:r>
      <w:r w:rsidRPr="00C547F0">
        <w:rPr>
          <w:rFonts w:ascii="Arial" w:hAnsi="Arial" w:cs="Arial"/>
          <w:color w:val="000000"/>
          <w:sz w:val="18"/>
          <w:szCs w:val="18"/>
        </w:rPr>
        <w:t xml:space="preserve"> by LFDs. Further analyses were performed to assess LFD performance in relation to user training.</w:t>
      </w:r>
    </w:p>
    <w:p w14:paraId="285532FE" w14:textId="77777777" w:rsidR="00B90B25" w:rsidRPr="00275DA1" w:rsidRDefault="00B90B25" w:rsidP="00B90B25">
      <w:pPr>
        <w:jc w:val="both"/>
        <w:rPr>
          <w:rFonts w:ascii="Arial" w:hAnsi="Arial" w:cs="Arial"/>
          <w:b/>
          <w:sz w:val="18"/>
          <w:szCs w:val="18"/>
        </w:rPr>
      </w:pPr>
      <w:r w:rsidRPr="00275DA1">
        <w:rPr>
          <w:rFonts w:ascii="Arial" w:hAnsi="Arial" w:cs="Arial"/>
          <w:b/>
          <w:sz w:val="18"/>
          <w:szCs w:val="18"/>
        </w:rPr>
        <w:t>Lateral flow tests</w:t>
      </w:r>
    </w:p>
    <w:p w14:paraId="679208CC" w14:textId="77777777" w:rsidR="00B90B25" w:rsidRPr="00275DA1" w:rsidRDefault="00B90B25" w:rsidP="00B90B25">
      <w:pPr>
        <w:jc w:val="both"/>
        <w:rPr>
          <w:rFonts w:ascii="Arial" w:hAnsi="Arial" w:cs="Arial"/>
          <w:b/>
          <w:sz w:val="18"/>
          <w:szCs w:val="18"/>
        </w:rPr>
      </w:pPr>
    </w:p>
    <w:p w14:paraId="686861BC" w14:textId="339D6FDF" w:rsidR="00B90B25" w:rsidRPr="00275DA1" w:rsidRDefault="00B90B25" w:rsidP="00B90B25">
      <w:pPr>
        <w:jc w:val="both"/>
        <w:rPr>
          <w:rFonts w:ascii="Arial" w:hAnsi="Arial" w:cs="Arial"/>
          <w:sz w:val="18"/>
          <w:szCs w:val="18"/>
        </w:rPr>
      </w:pPr>
      <w:r w:rsidRPr="00275DA1">
        <w:rPr>
          <w:rFonts w:ascii="Arial" w:hAnsi="Arial" w:cs="Arial"/>
          <w:sz w:val="18"/>
          <w:szCs w:val="18"/>
        </w:rPr>
        <w:t xml:space="preserve">All </w:t>
      </w:r>
      <w:r>
        <w:rPr>
          <w:rFonts w:ascii="Arial" w:hAnsi="Arial" w:cs="Arial"/>
          <w:sz w:val="18"/>
          <w:szCs w:val="18"/>
        </w:rPr>
        <w:t>LFD</w:t>
      </w:r>
      <w:r w:rsidRPr="00275DA1">
        <w:rPr>
          <w:rFonts w:ascii="Arial" w:hAnsi="Arial" w:cs="Arial"/>
          <w:sz w:val="18"/>
          <w:szCs w:val="18"/>
        </w:rPr>
        <w:t xml:space="preserve"> tests were </w:t>
      </w:r>
      <w:r w:rsidRPr="00275DA1">
        <w:rPr>
          <w:rFonts w:ascii="Arial" w:hAnsi="Arial" w:cs="Arial"/>
          <w:color w:val="000000"/>
          <w:sz w:val="18"/>
          <w:szCs w:val="18"/>
        </w:rPr>
        <w:t>sourced directly from the manufacturer by DHSC</w:t>
      </w:r>
      <w:r>
        <w:rPr>
          <w:rFonts w:ascii="Arial" w:hAnsi="Arial" w:cs="Arial"/>
          <w:color w:val="000000"/>
          <w:sz w:val="18"/>
          <w:szCs w:val="18"/>
        </w:rPr>
        <w:t>. Unless otherwise stated, k</w:t>
      </w:r>
      <w:r w:rsidRPr="00275DA1">
        <w:rPr>
          <w:rFonts w:ascii="Arial" w:hAnsi="Arial" w:cs="Arial"/>
          <w:color w:val="000000"/>
          <w:sz w:val="18"/>
          <w:szCs w:val="18"/>
        </w:rPr>
        <w:t>its were used as per manufacturer’s instructions</w:t>
      </w:r>
      <w:r>
        <w:rPr>
          <w:rFonts w:ascii="Arial" w:hAnsi="Arial" w:cs="Arial"/>
          <w:color w:val="000000"/>
          <w:sz w:val="18"/>
          <w:szCs w:val="18"/>
        </w:rPr>
        <w:t xml:space="preserve">, with </w:t>
      </w:r>
      <w:r w:rsidRPr="00275DA1">
        <w:rPr>
          <w:rFonts w:ascii="Arial" w:hAnsi="Arial" w:cs="Arial"/>
          <w:color w:val="000000"/>
          <w:sz w:val="18"/>
          <w:szCs w:val="18"/>
        </w:rPr>
        <w:t>kits recommend</w:t>
      </w:r>
      <w:r>
        <w:rPr>
          <w:rFonts w:ascii="Arial" w:hAnsi="Arial" w:cs="Arial"/>
          <w:color w:val="000000"/>
          <w:sz w:val="18"/>
          <w:szCs w:val="18"/>
        </w:rPr>
        <w:t>ing</w:t>
      </w:r>
      <w:r w:rsidRPr="00275DA1">
        <w:rPr>
          <w:rFonts w:ascii="Arial" w:hAnsi="Arial" w:cs="Arial"/>
          <w:color w:val="000000"/>
          <w:sz w:val="18"/>
          <w:szCs w:val="18"/>
        </w:rPr>
        <w:t xml:space="preserve"> </w:t>
      </w:r>
      <w:r>
        <w:rPr>
          <w:rFonts w:ascii="Arial" w:hAnsi="Arial" w:cs="Arial"/>
          <w:color w:val="000000"/>
          <w:sz w:val="18"/>
          <w:szCs w:val="18"/>
        </w:rPr>
        <w:t>use of</w:t>
      </w:r>
      <w:r w:rsidRPr="00275DA1">
        <w:rPr>
          <w:rFonts w:ascii="Arial" w:hAnsi="Arial" w:cs="Arial"/>
          <w:color w:val="000000"/>
          <w:sz w:val="18"/>
          <w:szCs w:val="18"/>
        </w:rPr>
        <w:t xml:space="preserve"> a “dry” swab, whereby the swab is not placed into any solutions prior to transfer to the kit buffer.</w:t>
      </w:r>
      <w:r w:rsidRPr="00275DA1">
        <w:rPr>
          <w:rFonts w:ascii="Arial" w:hAnsi="Arial" w:cs="Arial"/>
          <w:sz w:val="18"/>
          <w:szCs w:val="18"/>
        </w:rPr>
        <w:t xml:space="preserve"> As per the manufacturer’s instruction</w:t>
      </w:r>
      <w:r>
        <w:rPr>
          <w:rFonts w:ascii="Arial" w:hAnsi="Arial" w:cs="Arial"/>
          <w:sz w:val="18"/>
          <w:szCs w:val="18"/>
        </w:rPr>
        <w:t xml:space="preserve"> for use</w:t>
      </w:r>
      <w:r w:rsidRPr="00275DA1">
        <w:rPr>
          <w:rFonts w:ascii="Arial" w:hAnsi="Arial" w:cs="Arial"/>
          <w:sz w:val="18"/>
          <w:szCs w:val="18"/>
        </w:rPr>
        <w:t xml:space="preserve">, </w:t>
      </w:r>
      <w:r w:rsidRPr="00275DA1">
        <w:rPr>
          <w:rFonts w:ascii="Arial" w:hAnsi="Arial" w:cs="Arial"/>
          <w:color w:val="000000"/>
          <w:sz w:val="18"/>
          <w:szCs w:val="18"/>
        </w:rPr>
        <w:t>an invalid kit result, or a kit failure was recorded when an operator did not see a</w:t>
      </w:r>
      <w:r>
        <w:rPr>
          <w:rFonts w:ascii="Arial" w:hAnsi="Arial" w:cs="Arial"/>
          <w:color w:val="000000"/>
          <w:sz w:val="18"/>
          <w:szCs w:val="18"/>
        </w:rPr>
        <w:t xml:space="preserve"> </w:t>
      </w:r>
      <w:r w:rsidRPr="00275DA1">
        <w:rPr>
          <w:rFonts w:ascii="Arial" w:hAnsi="Arial" w:cs="Arial"/>
          <w:color w:val="000000"/>
          <w:sz w:val="18"/>
          <w:szCs w:val="18"/>
        </w:rPr>
        <w:t xml:space="preserve">control line on the device within a defined time period. A negative result was recorded where there was evidence of a control line but no test line. A positive result was recorded where there was evidence of a control and test line. </w:t>
      </w:r>
      <w:r w:rsidR="00DC51A4">
        <w:rPr>
          <w:rFonts w:ascii="Arial" w:hAnsi="Arial" w:cs="Arial"/>
          <w:sz w:val="18"/>
          <w:szCs w:val="18"/>
        </w:rPr>
        <w:t>Candidate LFDs</w:t>
      </w:r>
      <w:r w:rsidR="00DC51A4" w:rsidRPr="00C94F4E">
        <w:rPr>
          <w:rFonts w:ascii="Arial" w:hAnsi="Arial" w:cs="Arial"/>
          <w:sz w:val="18"/>
          <w:szCs w:val="18"/>
        </w:rPr>
        <w:t xml:space="preserve"> were </w:t>
      </w:r>
      <w:r w:rsidR="00DC51A4">
        <w:rPr>
          <w:rFonts w:ascii="Arial" w:hAnsi="Arial" w:cs="Arial"/>
          <w:sz w:val="18"/>
          <w:szCs w:val="18"/>
        </w:rPr>
        <w:t>assessed</w:t>
      </w:r>
      <w:r w:rsidR="00DC51A4" w:rsidRPr="00C94F4E">
        <w:rPr>
          <w:rFonts w:ascii="Arial" w:hAnsi="Arial" w:cs="Arial"/>
          <w:sz w:val="18"/>
          <w:szCs w:val="18"/>
        </w:rPr>
        <w:t xml:space="preserve"> under a confidentiality agreement and only the those which cleared all </w:t>
      </w:r>
      <w:r w:rsidR="00DC51A4">
        <w:rPr>
          <w:rFonts w:ascii="Arial" w:hAnsi="Arial" w:cs="Arial"/>
          <w:sz w:val="18"/>
          <w:szCs w:val="18"/>
        </w:rPr>
        <w:t>evaluation phases</w:t>
      </w:r>
      <w:bookmarkStart w:id="0" w:name="_GoBack"/>
      <w:bookmarkEnd w:id="0"/>
      <w:r w:rsidR="00DC51A4" w:rsidRPr="00C94F4E">
        <w:rPr>
          <w:rFonts w:ascii="Arial" w:hAnsi="Arial" w:cs="Arial"/>
          <w:sz w:val="18"/>
          <w:szCs w:val="18"/>
        </w:rPr>
        <w:t xml:space="preserve"> were approached for agreement to publish their identity.</w:t>
      </w:r>
    </w:p>
    <w:p w14:paraId="56CC82BB" w14:textId="77777777" w:rsidR="00B90B25" w:rsidRDefault="00B90B25">
      <w:pPr>
        <w:rPr>
          <w:rFonts w:ascii="Arial" w:hAnsi="Arial" w:cs="Arial"/>
          <w:b/>
          <w:sz w:val="18"/>
          <w:szCs w:val="18"/>
        </w:rPr>
      </w:pPr>
    </w:p>
    <w:p w14:paraId="5D135880" w14:textId="77777777" w:rsidR="00B90B25" w:rsidRDefault="00B90B25">
      <w:pPr>
        <w:rPr>
          <w:rFonts w:ascii="Arial" w:hAnsi="Arial" w:cs="Arial"/>
          <w:b/>
          <w:sz w:val="18"/>
          <w:szCs w:val="18"/>
        </w:rPr>
      </w:pPr>
    </w:p>
    <w:p w14:paraId="2B0F27DE" w14:textId="77777777" w:rsidR="00B90B25" w:rsidRDefault="00B90B25">
      <w:pPr>
        <w:rPr>
          <w:rFonts w:ascii="Arial" w:hAnsi="Arial" w:cs="Arial"/>
          <w:b/>
          <w:sz w:val="18"/>
          <w:szCs w:val="18"/>
        </w:rPr>
      </w:pPr>
    </w:p>
    <w:p w14:paraId="7D747667" w14:textId="77EF4AEB" w:rsidR="000448D9" w:rsidRDefault="000448D9">
      <w:pPr>
        <w:rPr>
          <w:rFonts w:ascii="Arial" w:hAnsi="Arial" w:cs="Arial"/>
          <w:b/>
          <w:sz w:val="18"/>
          <w:szCs w:val="18"/>
        </w:rPr>
      </w:pPr>
    </w:p>
    <w:p w14:paraId="33A831FE" w14:textId="77777777" w:rsidR="001E1424" w:rsidRDefault="001E1424">
      <w:pPr>
        <w:rPr>
          <w:rFonts w:ascii="Arial" w:hAnsi="Arial" w:cs="Arial"/>
          <w:b/>
          <w:sz w:val="18"/>
          <w:szCs w:val="18"/>
        </w:rPr>
      </w:pPr>
      <w:r>
        <w:rPr>
          <w:rFonts w:ascii="Arial" w:hAnsi="Arial" w:cs="Arial"/>
          <w:b/>
          <w:sz w:val="18"/>
          <w:szCs w:val="18"/>
        </w:rPr>
        <w:br w:type="page"/>
      </w:r>
    </w:p>
    <w:p w14:paraId="707A4FEF" w14:textId="6483E9AB" w:rsidR="000448D9" w:rsidRDefault="000448D9" w:rsidP="000448D9">
      <w:pPr>
        <w:rPr>
          <w:rFonts w:ascii="Arial" w:hAnsi="Arial" w:cs="Arial"/>
          <w:b/>
          <w:sz w:val="18"/>
          <w:szCs w:val="18"/>
        </w:rPr>
      </w:pPr>
      <w:r>
        <w:rPr>
          <w:rFonts w:ascii="Arial" w:hAnsi="Arial" w:cs="Arial"/>
          <w:b/>
          <w:sz w:val="18"/>
          <w:szCs w:val="18"/>
        </w:rPr>
        <w:lastRenderedPageBreak/>
        <w:t>Supplementary Tables</w:t>
      </w:r>
    </w:p>
    <w:p w14:paraId="41421751" w14:textId="67EA921E" w:rsidR="000448D9" w:rsidRDefault="000448D9" w:rsidP="000448D9">
      <w:pPr>
        <w:jc w:val="both"/>
      </w:pPr>
    </w:p>
    <w:p w14:paraId="383A4A4A" w14:textId="77777777" w:rsidR="000978EC" w:rsidRDefault="000978EC" w:rsidP="000978EC">
      <w:pPr>
        <w:jc w:val="both"/>
        <w:rPr>
          <w:rFonts w:ascii="Arial" w:hAnsi="Arial" w:cs="Arial"/>
          <w:i/>
          <w:color w:val="000000" w:themeColor="text1"/>
          <w:sz w:val="14"/>
          <w:szCs w:val="14"/>
        </w:rPr>
      </w:pPr>
      <w:r>
        <w:rPr>
          <w:rFonts w:ascii="Arial" w:hAnsi="Arial" w:cs="Arial"/>
          <w:i/>
          <w:color w:val="000000" w:themeColor="text1"/>
          <w:sz w:val="14"/>
          <w:szCs w:val="14"/>
        </w:rPr>
        <w:t xml:space="preserve">Supplementary </w:t>
      </w:r>
      <w:r w:rsidRPr="00A14E1F">
        <w:rPr>
          <w:rFonts w:ascii="Arial" w:hAnsi="Arial" w:cs="Arial"/>
          <w:i/>
          <w:color w:val="000000" w:themeColor="text1"/>
          <w:sz w:val="14"/>
          <w:szCs w:val="14"/>
        </w:rPr>
        <w:t xml:space="preserve">Table 1. Results of phase 3a evaluations showing </w:t>
      </w:r>
      <w:r>
        <w:rPr>
          <w:rFonts w:ascii="Arial" w:hAnsi="Arial" w:cs="Arial"/>
          <w:i/>
          <w:color w:val="000000" w:themeColor="text1"/>
          <w:sz w:val="14"/>
          <w:szCs w:val="14"/>
        </w:rPr>
        <w:t xml:space="preserve">viral detection sensitivity and specificity </w:t>
      </w:r>
      <w:r w:rsidRPr="00A14E1F">
        <w:rPr>
          <w:rFonts w:ascii="Arial" w:hAnsi="Arial" w:cs="Arial"/>
          <w:i/>
          <w:color w:val="000000" w:themeColor="text1"/>
          <w:sz w:val="14"/>
          <w:szCs w:val="14"/>
        </w:rPr>
        <w:t>of LFD tests using biobanked VTM samples from secondary care.</w:t>
      </w:r>
    </w:p>
    <w:p w14:paraId="2CF46E5A" w14:textId="77777777" w:rsidR="000978EC" w:rsidRDefault="000978EC" w:rsidP="000448D9">
      <w:pPr>
        <w:jc w:val="both"/>
      </w:pPr>
    </w:p>
    <w:tbl>
      <w:tblPr>
        <w:tblW w:w="9001" w:type="dxa"/>
        <w:tblLook w:val="04A0" w:firstRow="1" w:lastRow="0" w:firstColumn="1" w:lastColumn="0" w:noHBand="0" w:noVBand="1"/>
      </w:tblPr>
      <w:tblGrid>
        <w:gridCol w:w="1027"/>
        <w:gridCol w:w="996"/>
        <w:gridCol w:w="996"/>
        <w:gridCol w:w="997"/>
        <w:gridCol w:w="997"/>
        <w:gridCol w:w="997"/>
        <w:gridCol w:w="997"/>
        <w:gridCol w:w="997"/>
        <w:gridCol w:w="997"/>
      </w:tblGrid>
      <w:tr w:rsidR="000448D9" w:rsidRPr="00A75E36" w14:paraId="2C55DFBC" w14:textId="77777777" w:rsidTr="009F2006">
        <w:trPr>
          <w:trHeight w:val="340"/>
        </w:trPr>
        <w:tc>
          <w:tcPr>
            <w:tcW w:w="1027" w:type="dxa"/>
            <w:tcBorders>
              <w:top w:val="single" w:sz="8" w:space="0" w:color="auto"/>
              <w:left w:val="single" w:sz="8" w:space="0" w:color="auto"/>
              <w:bottom w:val="nil"/>
              <w:right w:val="nil"/>
            </w:tcBorders>
            <w:shd w:val="clear" w:color="000000" w:fill="E7E6E6"/>
            <w:noWrap/>
            <w:vAlign w:val="center"/>
            <w:hideMark/>
          </w:tcPr>
          <w:p w14:paraId="1F855425"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Viral load</w:t>
            </w:r>
          </w:p>
        </w:tc>
        <w:tc>
          <w:tcPr>
            <w:tcW w:w="996" w:type="dxa"/>
            <w:tcBorders>
              <w:top w:val="single" w:sz="8" w:space="0" w:color="auto"/>
              <w:left w:val="single" w:sz="8" w:space="0" w:color="auto"/>
              <w:bottom w:val="nil"/>
              <w:right w:val="single" w:sz="8" w:space="0" w:color="auto"/>
            </w:tcBorders>
            <w:shd w:val="clear" w:color="000000" w:fill="E7E6E6"/>
            <w:noWrap/>
            <w:vAlign w:val="center"/>
            <w:hideMark/>
          </w:tcPr>
          <w:p w14:paraId="58F9E17D"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ORF1 CT</w:t>
            </w:r>
          </w:p>
        </w:tc>
        <w:tc>
          <w:tcPr>
            <w:tcW w:w="996" w:type="dxa"/>
            <w:tcBorders>
              <w:top w:val="single" w:sz="8" w:space="0" w:color="auto"/>
              <w:left w:val="nil"/>
              <w:bottom w:val="single" w:sz="8" w:space="0" w:color="auto"/>
              <w:right w:val="nil"/>
            </w:tcBorders>
            <w:shd w:val="clear" w:color="000000" w:fill="E7E6E6"/>
            <w:noWrap/>
            <w:vAlign w:val="center"/>
            <w:hideMark/>
          </w:tcPr>
          <w:p w14:paraId="054C4E48"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Innova</w:t>
            </w:r>
          </w:p>
        </w:tc>
        <w:tc>
          <w:tcPr>
            <w:tcW w:w="997" w:type="dxa"/>
            <w:tcBorders>
              <w:top w:val="single" w:sz="8" w:space="0" w:color="auto"/>
              <w:left w:val="nil"/>
              <w:bottom w:val="single" w:sz="8" w:space="0" w:color="auto"/>
              <w:right w:val="nil"/>
            </w:tcBorders>
            <w:shd w:val="clear" w:color="000000" w:fill="E7E6E6"/>
            <w:noWrap/>
            <w:vAlign w:val="center"/>
            <w:hideMark/>
          </w:tcPr>
          <w:p w14:paraId="5B63D9C6" w14:textId="3EC3A8A4" w:rsidR="000448D9" w:rsidRPr="00A75E36" w:rsidRDefault="002F1FBB" w:rsidP="009F2006">
            <w:pPr>
              <w:rPr>
                <w:rFonts w:ascii="Calibri" w:hAnsi="Calibri" w:cs="Calibri"/>
                <w:color w:val="000000"/>
                <w:sz w:val="14"/>
                <w:szCs w:val="14"/>
              </w:rPr>
            </w:pPr>
            <w:r>
              <w:rPr>
                <w:rFonts w:ascii="Calibri" w:hAnsi="Calibri" w:cs="Calibri"/>
                <w:color w:val="000000"/>
                <w:sz w:val="14"/>
                <w:szCs w:val="14"/>
              </w:rPr>
              <w:t>LFD x</w:t>
            </w:r>
          </w:p>
        </w:tc>
        <w:tc>
          <w:tcPr>
            <w:tcW w:w="997" w:type="dxa"/>
            <w:tcBorders>
              <w:top w:val="single" w:sz="8" w:space="0" w:color="auto"/>
              <w:left w:val="nil"/>
              <w:bottom w:val="single" w:sz="8" w:space="0" w:color="auto"/>
              <w:right w:val="nil"/>
            </w:tcBorders>
            <w:shd w:val="clear" w:color="000000" w:fill="E7E6E6"/>
            <w:noWrap/>
            <w:vAlign w:val="center"/>
            <w:hideMark/>
          </w:tcPr>
          <w:p w14:paraId="20A674E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Orient gene</w:t>
            </w:r>
          </w:p>
        </w:tc>
        <w:tc>
          <w:tcPr>
            <w:tcW w:w="997" w:type="dxa"/>
            <w:tcBorders>
              <w:top w:val="single" w:sz="8" w:space="0" w:color="auto"/>
              <w:left w:val="nil"/>
              <w:bottom w:val="single" w:sz="8" w:space="0" w:color="auto"/>
              <w:right w:val="nil"/>
            </w:tcBorders>
            <w:shd w:val="clear" w:color="000000" w:fill="E7E6E6"/>
            <w:noWrap/>
            <w:vAlign w:val="center"/>
            <w:hideMark/>
          </w:tcPr>
          <w:p w14:paraId="2CE03C1B"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Deepblue</w:t>
            </w:r>
          </w:p>
        </w:tc>
        <w:tc>
          <w:tcPr>
            <w:tcW w:w="997" w:type="dxa"/>
            <w:tcBorders>
              <w:top w:val="single" w:sz="8" w:space="0" w:color="auto"/>
              <w:left w:val="nil"/>
              <w:bottom w:val="single" w:sz="8" w:space="0" w:color="auto"/>
              <w:right w:val="nil"/>
            </w:tcBorders>
            <w:shd w:val="clear" w:color="000000" w:fill="E7E6E6"/>
            <w:noWrap/>
            <w:vAlign w:val="center"/>
            <w:hideMark/>
          </w:tcPr>
          <w:p w14:paraId="316E9E64" w14:textId="49D81D22" w:rsidR="000448D9" w:rsidRPr="008A1DB8" w:rsidRDefault="000448D9" w:rsidP="009F2006">
            <w:pPr>
              <w:rPr>
                <w:rFonts w:ascii="Calibri" w:hAnsi="Calibri" w:cs="Calibri"/>
                <w:color w:val="000000"/>
                <w:sz w:val="14"/>
                <w:szCs w:val="14"/>
              </w:rPr>
            </w:pPr>
            <w:r w:rsidRPr="008A1DB8">
              <w:rPr>
                <w:rFonts w:ascii="Calibri" w:hAnsi="Calibri" w:cs="Calibri"/>
                <w:color w:val="000000"/>
                <w:sz w:val="14"/>
                <w:szCs w:val="14"/>
              </w:rPr>
              <w:t>Fortress</w:t>
            </w:r>
          </w:p>
        </w:tc>
        <w:tc>
          <w:tcPr>
            <w:tcW w:w="997" w:type="dxa"/>
            <w:tcBorders>
              <w:top w:val="single" w:sz="8" w:space="0" w:color="auto"/>
              <w:left w:val="nil"/>
              <w:bottom w:val="single" w:sz="8" w:space="0" w:color="auto"/>
              <w:right w:val="nil"/>
            </w:tcBorders>
            <w:shd w:val="clear" w:color="000000" w:fill="E7E6E6"/>
            <w:noWrap/>
            <w:vAlign w:val="center"/>
            <w:hideMark/>
          </w:tcPr>
          <w:p w14:paraId="7BBF4036" w14:textId="43F92B5B" w:rsidR="000448D9" w:rsidRPr="008A1DB8" w:rsidRDefault="000448D9" w:rsidP="009F2006">
            <w:pPr>
              <w:rPr>
                <w:rFonts w:ascii="Calibri" w:hAnsi="Calibri" w:cs="Calibri"/>
                <w:color w:val="000000"/>
                <w:sz w:val="14"/>
                <w:szCs w:val="14"/>
              </w:rPr>
            </w:pPr>
            <w:r w:rsidRPr="008A1DB8">
              <w:rPr>
                <w:rFonts w:ascii="Calibri" w:hAnsi="Calibri" w:cs="Calibri"/>
                <w:color w:val="000000"/>
                <w:sz w:val="14"/>
                <w:szCs w:val="14"/>
              </w:rPr>
              <w:t>SD Bio swab</w:t>
            </w:r>
          </w:p>
        </w:tc>
        <w:tc>
          <w:tcPr>
            <w:tcW w:w="997" w:type="dxa"/>
            <w:tcBorders>
              <w:top w:val="single" w:sz="8" w:space="0" w:color="auto"/>
              <w:left w:val="nil"/>
              <w:bottom w:val="single" w:sz="8" w:space="0" w:color="auto"/>
              <w:right w:val="single" w:sz="8" w:space="0" w:color="auto"/>
            </w:tcBorders>
            <w:shd w:val="clear" w:color="000000" w:fill="E7E6E6"/>
            <w:noWrap/>
            <w:vAlign w:val="center"/>
            <w:hideMark/>
          </w:tcPr>
          <w:p w14:paraId="730F484E" w14:textId="48B544F5" w:rsidR="000448D9" w:rsidRPr="008A1DB8" w:rsidRDefault="000448D9" w:rsidP="009F2006">
            <w:pPr>
              <w:rPr>
                <w:rFonts w:ascii="Calibri" w:hAnsi="Calibri" w:cs="Calibri"/>
                <w:color w:val="000000"/>
                <w:sz w:val="14"/>
                <w:szCs w:val="14"/>
              </w:rPr>
            </w:pPr>
            <w:r w:rsidRPr="008A1DB8">
              <w:rPr>
                <w:rFonts w:ascii="Calibri" w:hAnsi="Calibri" w:cs="Calibri"/>
                <w:color w:val="000000"/>
                <w:sz w:val="14"/>
                <w:szCs w:val="14"/>
              </w:rPr>
              <w:t>Surescreen</w:t>
            </w:r>
          </w:p>
        </w:tc>
      </w:tr>
      <w:tr w:rsidR="000448D9" w:rsidRPr="00A75E36" w14:paraId="2D90A05A" w14:textId="77777777" w:rsidTr="009F2006">
        <w:trPr>
          <w:trHeight w:val="320"/>
        </w:trPr>
        <w:tc>
          <w:tcPr>
            <w:tcW w:w="1027" w:type="dxa"/>
            <w:tcBorders>
              <w:top w:val="single" w:sz="8" w:space="0" w:color="auto"/>
              <w:left w:val="single" w:sz="8" w:space="0" w:color="auto"/>
              <w:bottom w:val="nil"/>
              <w:right w:val="single" w:sz="8" w:space="0" w:color="auto"/>
            </w:tcBorders>
            <w:shd w:val="clear" w:color="auto" w:fill="auto"/>
            <w:noWrap/>
            <w:vAlign w:val="center"/>
            <w:hideMark/>
          </w:tcPr>
          <w:p w14:paraId="7574EB76"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&gt;10million</w:t>
            </w:r>
          </w:p>
        </w:tc>
        <w:tc>
          <w:tcPr>
            <w:tcW w:w="996" w:type="dxa"/>
            <w:tcBorders>
              <w:top w:val="single" w:sz="8" w:space="0" w:color="auto"/>
              <w:left w:val="nil"/>
              <w:bottom w:val="nil"/>
              <w:right w:val="single" w:sz="8" w:space="0" w:color="auto"/>
            </w:tcBorders>
            <w:shd w:val="clear" w:color="auto" w:fill="auto"/>
            <w:noWrap/>
            <w:vAlign w:val="center"/>
            <w:hideMark/>
          </w:tcPr>
          <w:p w14:paraId="217A089A"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&lt;18</w:t>
            </w:r>
          </w:p>
        </w:tc>
        <w:tc>
          <w:tcPr>
            <w:tcW w:w="996" w:type="dxa"/>
            <w:tcBorders>
              <w:top w:val="nil"/>
              <w:left w:val="nil"/>
              <w:bottom w:val="nil"/>
              <w:right w:val="nil"/>
            </w:tcBorders>
            <w:shd w:val="clear" w:color="auto" w:fill="auto"/>
            <w:noWrap/>
            <w:vAlign w:val="center"/>
            <w:hideMark/>
          </w:tcPr>
          <w:p w14:paraId="61A8C3CD"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3/3 (100.0)</w:t>
            </w:r>
          </w:p>
        </w:tc>
        <w:tc>
          <w:tcPr>
            <w:tcW w:w="997" w:type="dxa"/>
            <w:tcBorders>
              <w:top w:val="nil"/>
              <w:left w:val="nil"/>
              <w:bottom w:val="nil"/>
              <w:right w:val="nil"/>
            </w:tcBorders>
            <w:shd w:val="clear" w:color="auto" w:fill="auto"/>
            <w:noWrap/>
            <w:vAlign w:val="center"/>
            <w:hideMark/>
          </w:tcPr>
          <w:p w14:paraId="226C70BB"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3/3 (100.0)</w:t>
            </w:r>
          </w:p>
        </w:tc>
        <w:tc>
          <w:tcPr>
            <w:tcW w:w="997" w:type="dxa"/>
            <w:tcBorders>
              <w:top w:val="nil"/>
              <w:left w:val="nil"/>
              <w:bottom w:val="nil"/>
              <w:right w:val="nil"/>
            </w:tcBorders>
            <w:shd w:val="clear" w:color="auto" w:fill="auto"/>
            <w:noWrap/>
            <w:vAlign w:val="center"/>
            <w:hideMark/>
          </w:tcPr>
          <w:p w14:paraId="352D86EF"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3/3 (100.0)</w:t>
            </w:r>
          </w:p>
        </w:tc>
        <w:tc>
          <w:tcPr>
            <w:tcW w:w="997" w:type="dxa"/>
            <w:tcBorders>
              <w:top w:val="nil"/>
              <w:left w:val="nil"/>
              <w:bottom w:val="nil"/>
              <w:right w:val="nil"/>
            </w:tcBorders>
            <w:shd w:val="clear" w:color="auto" w:fill="auto"/>
            <w:noWrap/>
            <w:vAlign w:val="center"/>
            <w:hideMark/>
          </w:tcPr>
          <w:p w14:paraId="2E9E3FDD"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3/3 (100.0)</w:t>
            </w:r>
          </w:p>
        </w:tc>
        <w:tc>
          <w:tcPr>
            <w:tcW w:w="997" w:type="dxa"/>
            <w:tcBorders>
              <w:top w:val="nil"/>
              <w:left w:val="nil"/>
              <w:bottom w:val="nil"/>
              <w:right w:val="nil"/>
            </w:tcBorders>
            <w:shd w:val="clear" w:color="auto" w:fill="auto"/>
            <w:noWrap/>
            <w:vAlign w:val="center"/>
            <w:hideMark/>
          </w:tcPr>
          <w:p w14:paraId="0804CE3E"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3/3 (100.0)</w:t>
            </w:r>
          </w:p>
        </w:tc>
        <w:tc>
          <w:tcPr>
            <w:tcW w:w="997" w:type="dxa"/>
            <w:tcBorders>
              <w:top w:val="nil"/>
              <w:left w:val="nil"/>
              <w:bottom w:val="nil"/>
              <w:right w:val="nil"/>
            </w:tcBorders>
            <w:shd w:val="clear" w:color="auto" w:fill="auto"/>
            <w:noWrap/>
            <w:vAlign w:val="center"/>
            <w:hideMark/>
          </w:tcPr>
          <w:p w14:paraId="3B68C28B"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3/3 (100.0)</w:t>
            </w:r>
          </w:p>
        </w:tc>
        <w:tc>
          <w:tcPr>
            <w:tcW w:w="997" w:type="dxa"/>
            <w:tcBorders>
              <w:top w:val="nil"/>
              <w:left w:val="nil"/>
              <w:bottom w:val="nil"/>
              <w:right w:val="single" w:sz="8" w:space="0" w:color="auto"/>
            </w:tcBorders>
            <w:shd w:val="clear" w:color="auto" w:fill="auto"/>
            <w:noWrap/>
            <w:vAlign w:val="center"/>
            <w:hideMark/>
          </w:tcPr>
          <w:p w14:paraId="3CFC13CE"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3/3 (100.0)</w:t>
            </w:r>
          </w:p>
        </w:tc>
      </w:tr>
      <w:tr w:rsidR="000448D9" w:rsidRPr="00A75E36" w14:paraId="2F0C20ED" w14:textId="77777777" w:rsidTr="009F2006">
        <w:trPr>
          <w:trHeight w:val="320"/>
        </w:trPr>
        <w:tc>
          <w:tcPr>
            <w:tcW w:w="1027" w:type="dxa"/>
            <w:tcBorders>
              <w:top w:val="nil"/>
              <w:left w:val="single" w:sz="8" w:space="0" w:color="auto"/>
              <w:bottom w:val="nil"/>
              <w:right w:val="single" w:sz="8" w:space="0" w:color="auto"/>
            </w:tcBorders>
            <w:shd w:val="clear" w:color="auto" w:fill="auto"/>
            <w:noWrap/>
            <w:vAlign w:val="center"/>
            <w:hideMark/>
          </w:tcPr>
          <w:p w14:paraId="2064605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1-10 million</w:t>
            </w:r>
          </w:p>
        </w:tc>
        <w:tc>
          <w:tcPr>
            <w:tcW w:w="996" w:type="dxa"/>
            <w:tcBorders>
              <w:top w:val="nil"/>
              <w:left w:val="nil"/>
              <w:bottom w:val="nil"/>
              <w:right w:val="single" w:sz="8" w:space="0" w:color="auto"/>
            </w:tcBorders>
            <w:shd w:val="clear" w:color="auto" w:fill="auto"/>
            <w:noWrap/>
            <w:vAlign w:val="center"/>
            <w:hideMark/>
          </w:tcPr>
          <w:p w14:paraId="45D15DB9"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18-21.5</w:t>
            </w:r>
          </w:p>
        </w:tc>
        <w:tc>
          <w:tcPr>
            <w:tcW w:w="996" w:type="dxa"/>
            <w:tcBorders>
              <w:top w:val="nil"/>
              <w:left w:val="nil"/>
              <w:bottom w:val="nil"/>
              <w:right w:val="nil"/>
            </w:tcBorders>
            <w:shd w:val="clear" w:color="auto" w:fill="auto"/>
            <w:noWrap/>
            <w:vAlign w:val="center"/>
            <w:hideMark/>
          </w:tcPr>
          <w:p w14:paraId="0C0553CF"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25/25 (100.0)</w:t>
            </w:r>
          </w:p>
        </w:tc>
        <w:tc>
          <w:tcPr>
            <w:tcW w:w="997" w:type="dxa"/>
            <w:tcBorders>
              <w:top w:val="nil"/>
              <w:left w:val="nil"/>
              <w:bottom w:val="nil"/>
              <w:right w:val="nil"/>
            </w:tcBorders>
            <w:shd w:val="clear" w:color="auto" w:fill="auto"/>
            <w:noWrap/>
            <w:vAlign w:val="center"/>
            <w:hideMark/>
          </w:tcPr>
          <w:p w14:paraId="436CD842"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28/28 (100.0)</w:t>
            </w:r>
          </w:p>
        </w:tc>
        <w:tc>
          <w:tcPr>
            <w:tcW w:w="997" w:type="dxa"/>
            <w:tcBorders>
              <w:top w:val="nil"/>
              <w:left w:val="nil"/>
              <w:bottom w:val="nil"/>
              <w:right w:val="nil"/>
            </w:tcBorders>
            <w:shd w:val="clear" w:color="auto" w:fill="auto"/>
            <w:noWrap/>
            <w:vAlign w:val="center"/>
            <w:hideMark/>
          </w:tcPr>
          <w:p w14:paraId="41B12E53"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27/27 (100.0)</w:t>
            </w:r>
          </w:p>
        </w:tc>
        <w:tc>
          <w:tcPr>
            <w:tcW w:w="997" w:type="dxa"/>
            <w:tcBorders>
              <w:top w:val="nil"/>
              <w:left w:val="nil"/>
              <w:bottom w:val="nil"/>
              <w:right w:val="nil"/>
            </w:tcBorders>
            <w:shd w:val="clear" w:color="auto" w:fill="auto"/>
            <w:noWrap/>
            <w:vAlign w:val="center"/>
            <w:hideMark/>
          </w:tcPr>
          <w:p w14:paraId="454AF188"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28/28 (100.0)</w:t>
            </w:r>
          </w:p>
        </w:tc>
        <w:tc>
          <w:tcPr>
            <w:tcW w:w="997" w:type="dxa"/>
            <w:tcBorders>
              <w:top w:val="nil"/>
              <w:left w:val="nil"/>
              <w:bottom w:val="nil"/>
              <w:right w:val="nil"/>
            </w:tcBorders>
            <w:shd w:val="clear" w:color="auto" w:fill="auto"/>
            <w:noWrap/>
            <w:vAlign w:val="center"/>
            <w:hideMark/>
          </w:tcPr>
          <w:p w14:paraId="6720BDE7"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28/28 (100.0)</w:t>
            </w:r>
          </w:p>
        </w:tc>
        <w:tc>
          <w:tcPr>
            <w:tcW w:w="997" w:type="dxa"/>
            <w:tcBorders>
              <w:top w:val="nil"/>
              <w:left w:val="nil"/>
              <w:bottom w:val="nil"/>
              <w:right w:val="nil"/>
            </w:tcBorders>
            <w:shd w:val="clear" w:color="auto" w:fill="auto"/>
            <w:noWrap/>
            <w:vAlign w:val="center"/>
            <w:hideMark/>
          </w:tcPr>
          <w:p w14:paraId="6E223C67" w14:textId="7FDDAB33" w:rsidR="000448D9" w:rsidRPr="00A75E36" w:rsidRDefault="00CC003F" w:rsidP="009F2006">
            <w:pPr>
              <w:rPr>
                <w:rFonts w:ascii="Calibri" w:hAnsi="Calibri" w:cs="Calibri"/>
                <w:color w:val="000000"/>
                <w:sz w:val="14"/>
                <w:szCs w:val="14"/>
              </w:rPr>
            </w:pPr>
            <w:r>
              <w:rPr>
                <w:rFonts w:ascii="Calibri" w:hAnsi="Calibri" w:cs="Calibri"/>
                <w:color w:val="000000"/>
                <w:sz w:val="14"/>
                <w:szCs w:val="14"/>
              </w:rPr>
              <w:t>27/27 (100.0</w:t>
            </w:r>
            <w:r w:rsidR="000448D9" w:rsidRPr="00A75E36">
              <w:rPr>
                <w:rFonts w:ascii="Calibri" w:hAnsi="Calibri" w:cs="Calibri"/>
                <w:color w:val="000000"/>
                <w:sz w:val="14"/>
                <w:szCs w:val="14"/>
              </w:rPr>
              <w:t>)</w:t>
            </w:r>
          </w:p>
        </w:tc>
        <w:tc>
          <w:tcPr>
            <w:tcW w:w="997" w:type="dxa"/>
            <w:tcBorders>
              <w:top w:val="nil"/>
              <w:left w:val="nil"/>
              <w:bottom w:val="nil"/>
              <w:right w:val="single" w:sz="8" w:space="0" w:color="auto"/>
            </w:tcBorders>
            <w:shd w:val="clear" w:color="auto" w:fill="auto"/>
            <w:noWrap/>
            <w:vAlign w:val="center"/>
            <w:hideMark/>
          </w:tcPr>
          <w:p w14:paraId="3274346E"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28/28 (100.0)</w:t>
            </w:r>
          </w:p>
        </w:tc>
      </w:tr>
      <w:tr w:rsidR="000448D9" w:rsidRPr="00A75E36" w14:paraId="02FB3FB3" w14:textId="77777777" w:rsidTr="009F2006">
        <w:trPr>
          <w:trHeight w:val="320"/>
        </w:trPr>
        <w:tc>
          <w:tcPr>
            <w:tcW w:w="1027" w:type="dxa"/>
            <w:tcBorders>
              <w:top w:val="nil"/>
              <w:left w:val="single" w:sz="8" w:space="0" w:color="auto"/>
              <w:bottom w:val="nil"/>
              <w:right w:val="single" w:sz="8" w:space="0" w:color="auto"/>
            </w:tcBorders>
            <w:shd w:val="clear" w:color="auto" w:fill="auto"/>
            <w:noWrap/>
            <w:vAlign w:val="center"/>
            <w:hideMark/>
          </w:tcPr>
          <w:p w14:paraId="7F57EA14"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0.1-1 million</w:t>
            </w:r>
          </w:p>
        </w:tc>
        <w:tc>
          <w:tcPr>
            <w:tcW w:w="996" w:type="dxa"/>
            <w:tcBorders>
              <w:top w:val="nil"/>
              <w:left w:val="nil"/>
              <w:bottom w:val="nil"/>
              <w:right w:val="single" w:sz="8" w:space="0" w:color="auto"/>
            </w:tcBorders>
            <w:shd w:val="clear" w:color="auto" w:fill="auto"/>
            <w:noWrap/>
            <w:vAlign w:val="center"/>
            <w:hideMark/>
          </w:tcPr>
          <w:p w14:paraId="6ABBF421"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21.5-25</w:t>
            </w:r>
          </w:p>
        </w:tc>
        <w:tc>
          <w:tcPr>
            <w:tcW w:w="996" w:type="dxa"/>
            <w:tcBorders>
              <w:top w:val="nil"/>
              <w:left w:val="nil"/>
              <w:bottom w:val="nil"/>
              <w:right w:val="nil"/>
            </w:tcBorders>
            <w:shd w:val="clear" w:color="auto" w:fill="auto"/>
            <w:noWrap/>
            <w:vAlign w:val="center"/>
            <w:hideMark/>
          </w:tcPr>
          <w:p w14:paraId="4791815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31/33 (93.9)</w:t>
            </w:r>
          </w:p>
        </w:tc>
        <w:tc>
          <w:tcPr>
            <w:tcW w:w="997" w:type="dxa"/>
            <w:tcBorders>
              <w:top w:val="nil"/>
              <w:left w:val="nil"/>
              <w:bottom w:val="nil"/>
              <w:right w:val="nil"/>
            </w:tcBorders>
            <w:shd w:val="clear" w:color="auto" w:fill="auto"/>
            <w:noWrap/>
            <w:vAlign w:val="center"/>
            <w:hideMark/>
          </w:tcPr>
          <w:p w14:paraId="341C8B6D"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33/35 (94.3)</w:t>
            </w:r>
          </w:p>
        </w:tc>
        <w:tc>
          <w:tcPr>
            <w:tcW w:w="997" w:type="dxa"/>
            <w:tcBorders>
              <w:top w:val="nil"/>
              <w:left w:val="nil"/>
              <w:bottom w:val="nil"/>
              <w:right w:val="nil"/>
            </w:tcBorders>
            <w:shd w:val="clear" w:color="auto" w:fill="auto"/>
            <w:noWrap/>
            <w:vAlign w:val="center"/>
            <w:hideMark/>
          </w:tcPr>
          <w:p w14:paraId="461DA8BE"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32/35 (91.4)</w:t>
            </w:r>
          </w:p>
        </w:tc>
        <w:tc>
          <w:tcPr>
            <w:tcW w:w="997" w:type="dxa"/>
            <w:tcBorders>
              <w:top w:val="nil"/>
              <w:left w:val="nil"/>
              <w:bottom w:val="nil"/>
              <w:right w:val="nil"/>
            </w:tcBorders>
            <w:shd w:val="clear" w:color="auto" w:fill="auto"/>
            <w:noWrap/>
            <w:vAlign w:val="center"/>
            <w:hideMark/>
          </w:tcPr>
          <w:p w14:paraId="7ADF5A2F"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32/35 (91.4)</w:t>
            </w:r>
          </w:p>
        </w:tc>
        <w:tc>
          <w:tcPr>
            <w:tcW w:w="997" w:type="dxa"/>
            <w:tcBorders>
              <w:top w:val="nil"/>
              <w:left w:val="nil"/>
              <w:bottom w:val="nil"/>
              <w:right w:val="nil"/>
            </w:tcBorders>
            <w:shd w:val="clear" w:color="auto" w:fill="auto"/>
            <w:noWrap/>
            <w:vAlign w:val="center"/>
            <w:hideMark/>
          </w:tcPr>
          <w:p w14:paraId="6593C31E"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31/35 (88.6)</w:t>
            </w:r>
          </w:p>
        </w:tc>
        <w:tc>
          <w:tcPr>
            <w:tcW w:w="997" w:type="dxa"/>
            <w:tcBorders>
              <w:top w:val="nil"/>
              <w:left w:val="nil"/>
              <w:bottom w:val="nil"/>
              <w:right w:val="nil"/>
            </w:tcBorders>
            <w:shd w:val="clear" w:color="auto" w:fill="auto"/>
            <w:noWrap/>
            <w:vAlign w:val="center"/>
            <w:hideMark/>
          </w:tcPr>
          <w:p w14:paraId="70B15473" w14:textId="545BE247" w:rsidR="000448D9" w:rsidRPr="00A75E36" w:rsidRDefault="00CC003F" w:rsidP="009F2006">
            <w:pPr>
              <w:rPr>
                <w:rFonts w:ascii="Calibri" w:hAnsi="Calibri" w:cs="Calibri"/>
                <w:color w:val="000000"/>
                <w:sz w:val="14"/>
                <w:szCs w:val="14"/>
              </w:rPr>
            </w:pPr>
            <w:r>
              <w:rPr>
                <w:rFonts w:ascii="Calibri" w:hAnsi="Calibri" w:cs="Calibri"/>
                <w:color w:val="000000"/>
                <w:sz w:val="14"/>
                <w:szCs w:val="14"/>
              </w:rPr>
              <w:t>33/34</w:t>
            </w:r>
            <w:r w:rsidR="002B0FFC">
              <w:rPr>
                <w:rFonts w:ascii="Calibri" w:hAnsi="Calibri" w:cs="Calibri"/>
                <w:color w:val="000000"/>
                <w:sz w:val="14"/>
                <w:szCs w:val="14"/>
              </w:rPr>
              <w:t xml:space="preserve"> (97.1</w:t>
            </w:r>
            <w:r w:rsidR="000448D9" w:rsidRPr="00A75E36">
              <w:rPr>
                <w:rFonts w:ascii="Calibri" w:hAnsi="Calibri" w:cs="Calibri"/>
                <w:color w:val="000000"/>
                <w:sz w:val="14"/>
                <w:szCs w:val="14"/>
              </w:rPr>
              <w:t>)</w:t>
            </w:r>
          </w:p>
        </w:tc>
        <w:tc>
          <w:tcPr>
            <w:tcW w:w="997" w:type="dxa"/>
            <w:tcBorders>
              <w:top w:val="nil"/>
              <w:left w:val="nil"/>
              <w:bottom w:val="nil"/>
              <w:right w:val="single" w:sz="8" w:space="0" w:color="auto"/>
            </w:tcBorders>
            <w:shd w:val="clear" w:color="auto" w:fill="auto"/>
            <w:noWrap/>
            <w:vAlign w:val="center"/>
            <w:hideMark/>
          </w:tcPr>
          <w:p w14:paraId="5E01B7F6"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33/34 (97.1)</w:t>
            </w:r>
          </w:p>
        </w:tc>
      </w:tr>
      <w:tr w:rsidR="000448D9" w:rsidRPr="00A75E36" w14:paraId="4CB7E5D0" w14:textId="77777777" w:rsidTr="009F2006">
        <w:trPr>
          <w:trHeight w:val="320"/>
        </w:trPr>
        <w:tc>
          <w:tcPr>
            <w:tcW w:w="1027" w:type="dxa"/>
            <w:tcBorders>
              <w:top w:val="nil"/>
              <w:left w:val="single" w:sz="8" w:space="0" w:color="auto"/>
              <w:bottom w:val="nil"/>
              <w:right w:val="single" w:sz="8" w:space="0" w:color="auto"/>
            </w:tcBorders>
            <w:shd w:val="clear" w:color="auto" w:fill="auto"/>
            <w:noWrap/>
            <w:vAlign w:val="center"/>
            <w:hideMark/>
          </w:tcPr>
          <w:p w14:paraId="7BC755A5"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10,000-100,000</w:t>
            </w:r>
          </w:p>
        </w:tc>
        <w:tc>
          <w:tcPr>
            <w:tcW w:w="996" w:type="dxa"/>
            <w:tcBorders>
              <w:top w:val="nil"/>
              <w:left w:val="nil"/>
              <w:bottom w:val="nil"/>
              <w:right w:val="single" w:sz="8" w:space="0" w:color="auto"/>
            </w:tcBorders>
            <w:shd w:val="clear" w:color="auto" w:fill="auto"/>
            <w:noWrap/>
            <w:vAlign w:val="center"/>
            <w:hideMark/>
          </w:tcPr>
          <w:p w14:paraId="292D8DCF"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25-28</w:t>
            </w:r>
          </w:p>
        </w:tc>
        <w:tc>
          <w:tcPr>
            <w:tcW w:w="996" w:type="dxa"/>
            <w:tcBorders>
              <w:top w:val="nil"/>
              <w:left w:val="nil"/>
              <w:bottom w:val="nil"/>
              <w:right w:val="nil"/>
            </w:tcBorders>
            <w:shd w:val="clear" w:color="auto" w:fill="auto"/>
            <w:noWrap/>
            <w:vAlign w:val="center"/>
            <w:hideMark/>
          </w:tcPr>
          <w:p w14:paraId="53A61A23"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23/34 (67.6)</w:t>
            </w:r>
          </w:p>
        </w:tc>
        <w:tc>
          <w:tcPr>
            <w:tcW w:w="997" w:type="dxa"/>
            <w:tcBorders>
              <w:top w:val="nil"/>
              <w:left w:val="nil"/>
              <w:bottom w:val="nil"/>
              <w:right w:val="nil"/>
            </w:tcBorders>
            <w:shd w:val="clear" w:color="auto" w:fill="auto"/>
            <w:noWrap/>
            <w:vAlign w:val="center"/>
            <w:hideMark/>
          </w:tcPr>
          <w:p w14:paraId="264585AF"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25/37 (67.6)</w:t>
            </w:r>
          </w:p>
        </w:tc>
        <w:tc>
          <w:tcPr>
            <w:tcW w:w="997" w:type="dxa"/>
            <w:tcBorders>
              <w:top w:val="nil"/>
              <w:left w:val="nil"/>
              <w:bottom w:val="nil"/>
              <w:right w:val="nil"/>
            </w:tcBorders>
            <w:shd w:val="clear" w:color="auto" w:fill="auto"/>
            <w:noWrap/>
            <w:vAlign w:val="center"/>
            <w:hideMark/>
          </w:tcPr>
          <w:p w14:paraId="542663AA"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26/37 (70.3)</w:t>
            </w:r>
          </w:p>
        </w:tc>
        <w:tc>
          <w:tcPr>
            <w:tcW w:w="997" w:type="dxa"/>
            <w:tcBorders>
              <w:top w:val="nil"/>
              <w:left w:val="nil"/>
              <w:bottom w:val="nil"/>
              <w:right w:val="nil"/>
            </w:tcBorders>
            <w:shd w:val="clear" w:color="auto" w:fill="auto"/>
            <w:noWrap/>
            <w:vAlign w:val="center"/>
            <w:hideMark/>
          </w:tcPr>
          <w:p w14:paraId="5FCA4979"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23/37 (62.2)</w:t>
            </w:r>
          </w:p>
        </w:tc>
        <w:tc>
          <w:tcPr>
            <w:tcW w:w="997" w:type="dxa"/>
            <w:tcBorders>
              <w:top w:val="nil"/>
              <w:left w:val="nil"/>
              <w:bottom w:val="nil"/>
              <w:right w:val="nil"/>
            </w:tcBorders>
            <w:shd w:val="clear" w:color="auto" w:fill="auto"/>
            <w:noWrap/>
            <w:vAlign w:val="center"/>
            <w:hideMark/>
          </w:tcPr>
          <w:p w14:paraId="6E718331"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28/37 (75.7)</w:t>
            </w:r>
          </w:p>
        </w:tc>
        <w:tc>
          <w:tcPr>
            <w:tcW w:w="997" w:type="dxa"/>
            <w:tcBorders>
              <w:top w:val="nil"/>
              <w:left w:val="nil"/>
              <w:bottom w:val="nil"/>
              <w:right w:val="nil"/>
            </w:tcBorders>
            <w:shd w:val="clear" w:color="auto" w:fill="auto"/>
            <w:noWrap/>
            <w:vAlign w:val="center"/>
            <w:hideMark/>
          </w:tcPr>
          <w:p w14:paraId="13C2DFA5" w14:textId="15745BBE" w:rsidR="000448D9" w:rsidRPr="00A75E36" w:rsidRDefault="00CC003F" w:rsidP="009F2006">
            <w:pPr>
              <w:rPr>
                <w:rFonts w:ascii="Calibri" w:hAnsi="Calibri" w:cs="Calibri"/>
                <w:color w:val="000000"/>
                <w:sz w:val="14"/>
                <w:szCs w:val="14"/>
              </w:rPr>
            </w:pPr>
            <w:r>
              <w:rPr>
                <w:rFonts w:ascii="Calibri" w:hAnsi="Calibri" w:cs="Calibri"/>
                <w:color w:val="000000"/>
                <w:sz w:val="14"/>
                <w:szCs w:val="14"/>
              </w:rPr>
              <w:t>19/36 (52.7</w:t>
            </w:r>
            <w:r w:rsidR="000448D9" w:rsidRPr="00A75E36">
              <w:rPr>
                <w:rFonts w:ascii="Calibri" w:hAnsi="Calibri" w:cs="Calibri"/>
                <w:color w:val="000000"/>
                <w:sz w:val="14"/>
                <w:szCs w:val="14"/>
              </w:rPr>
              <w:t>)</w:t>
            </w:r>
          </w:p>
        </w:tc>
        <w:tc>
          <w:tcPr>
            <w:tcW w:w="997" w:type="dxa"/>
            <w:tcBorders>
              <w:top w:val="nil"/>
              <w:left w:val="nil"/>
              <w:bottom w:val="nil"/>
              <w:right w:val="single" w:sz="8" w:space="0" w:color="auto"/>
            </w:tcBorders>
            <w:shd w:val="clear" w:color="auto" w:fill="auto"/>
            <w:noWrap/>
            <w:vAlign w:val="center"/>
            <w:hideMark/>
          </w:tcPr>
          <w:p w14:paraId="360A85B3"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16/37 (43.2)</w:t>
            </w:r>
          </w:p>
        </w:tc>
      </w:tr>
      <w:tr w:rsidR="000448D9" w:rsidRPr="00A75E36" w14:paraId="47226170" w14:textId="77777777" w:rsidTr="009F2006">
        <w:trPr>
          <w:trHeight w:val="320"/>
        </w:trPr>
        <w:tc>
          <w:tcPr>
            <w:tcW w:w="1027" w:type="dxa"/>
            <w:tcBorders>
              <w:top w:val="nil"/>
              <w:left w:val="single" w:sz="8" w:space="0" w:color="auto"/>
              <w:bottom w:val="nil"/>
              <w:right w:val="single" w:sz="8" w:space="0" w:color="auto"/>
            </w:tcBorders>
            <w:shd w:val="clear" w:color="auto" w:fill="auto"/>
            <w:noWrap/>
            <w:vAlign w:val="center"/>
            <w:hideMark/>
          </w:tcPr>
          <w:p w14:paraId="45F848D5"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1,000-10,000</w:t>
            </w:r>
          </w:p>
        </w:tc>
        <w:tc>
          <w:tcPr>
            <w:tcW w:w="996" w:type="dxa"/>
            <w:tcBorders>
              <w:top w:val="nil"/>
              <w:left w:val="nil"/>
              <w:bottom w:val="nil"/>
              <w:right w:val="single" w:sz="8" w:space="0" w:color="auto"/>
            </w:tcBorders>
            <w:shd w:val="clear" w:color="auto" w:fill="auto"/>
            <w:noWrap/>
            <w:vAlign w:val="center"/>
            <w:hideMark/>
          </w:tcPr>
          <w:p w14:paraId="610EFF46"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28-31</w:t>
            </w:r>
          </w:p>
        </w:tc>
        <w:tc>
          <w:tcPr>
            <w:tcW w:w="996" w:type="dxa"/>
            <w:tcBorders>
              <w:top w:val="nil"/>
              <w:left w:val="nil"/>
              <w:bottom w:val="nil"/>
              <w:right w:val="nil"/>
            </w:tcBorders>
            <w:shd w:val="clear" w:color="auto" w:fill="auto"/>
            <w:noWrap/>
            <w:vAlign w:val="center"/>
            <w:hideMark/>
          </w:tcPr>
          <w:p w14:paraId="17640FDA"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12/41 (29.3)</w:t>
            </w:r>
          </w:p>
        </w:tc>
        <w:tc>
          <w:tcPr>
            <w:tcW w:w="997" w:type="dxa"/>
            <w:tcBorders>
              <w:top w:val="nil"/>
              <w:left w:val="nil"/>
              <w:bottom w:val="nil"/>
              <w:right w:val="nil"/>
            </w:tcBorders>
            <w:shd w:val="clear" w:color="auto" w:fill="auto"/>
            <w:noWrap/>
            <w:vAlign w:val="center"/>
            <w:hideMark/>
          </w:tcPr>
          <w:p w14:paraId="74C0D57D"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13/42 (31.0)</w:t>
            </w:r>
          </w:p>
        </w:tc>
        <w:tc>
          <w:tcPr>
            <w:tcW w:w="997" w:type="dxa"/>
            <w:tcBorders>
              <w:top w:val="nil"/>
              <w:left w:val="nil"/>
              <w:bottom w:val="nil"/>
              <w:right w:val="nil"/>
            </w:tcBorders>
            <w:shd w:val="clear" w:color="auto" w:fill="auto"/>
            <w:noWrap/>
            <w:vAlign w:val="center"/>
            <w:hideMark/>
          </w:tcPr>
          <w:p w14:paraId="24CB1E90"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5/42 (11.9)</w:t>
            </w:r>
          </w:p>
        </w:tc>
        <w:tc>
          <w:tcPr>
            <w:tcW w:w="997" w:type="dxa"/>
            <w:tcBorders>
              <w:top w:val="nil"/>
              <w:left w:val="nil"/>
              <w:bottom w:val="nil"/>
              <w:right w:val="nil"/>
            </w:tcBorders>
            <w:shd w:val="clear" w:color="auto" w:fill="auto"/>
            <w:noWrap/>
            <w:vAlign w:val="center"/>
            <w:hideMark/>
          </w:tcPr>
          <w:p w14:paraId="1F60416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4/42 (9.5)</w:t>
            </w:r>
          </w:p>
        </w:tc>
        <w:tc>
          <w:tcPr>
            <w:tcW w:w="997" w:type="dxa"/>
            <w:tcBorders>
              <w:top w:val="nil"/>
              <w:left w:val="nil"/>
              <w:bottom w:val="nil"/>
              <w:right w:val="nil"/>
            </w:tcBorders>
            <w:shd w:val="clear" w:color="auto" w:fill="auto"/>
            <w:noWrap/>
            <w:vAlign w:val="center"/>
            <w:hideMark/>
          </w:tcPr>
          <w:p w14:paraId="4ABA8E2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15/42 (35.7)</w:t>
            </w:r>
          </w:p>
        </w:tc>
        <w:tc>
          <w:tcPr>
            <w:tcW w:w="997" w:type="dxa"/>
            <w:tcBorders>
              <w:top w:val="nil"/>
              <w:left w:val="nil"/>
              <w:bottom w:val="nil"/>
              <w:right w:val="nil"/>
            </w:tcBorders>
            <w:shd w:val="clear" w:color="auto" w:fill="auto"/>
            <w:noWrap/>
            <w:vAlign w:val="center"/>
            <w:hideMark/>
          </w:tcPr>
          <w:p w14:paraId="71ED01D4" w14:textId="0E5D3965" w:rsidR="000448D9" w:rsidRPr="00A75E36" w:rsidRDefault="002B0FFC" w:rsidP="009F2006">
            <w:pPr>
              <w:rPr>
                <w:rFonts w:ascii="Calibri" w:hAnsi="Calibri" w:cs="Calibri"/>
                <w:color w:val="000000"/>
                <w:sz w:val="14"/>
                <w:szCs w:val="14"/>
              </w:rPr>
            </w:pPr>
            <w:r>
              <w:rPr>
                <w:rFonts w:ascii="Calibri" w:hAnsi="Calibri" w:cs="Calibri"/>
                <w:color w:val="000000"/>
                <w:sz w:val="14"/>
                <w:szCs w:val="14"/>
              </w:rPr>
              <w:t>7/42 (16.7</w:t>
            </w:r>
            <w:r w:rsidR="000448D9" w:rsidRPr="00A75E36">
              <w:rPr>
                <w:rFonts w:ascii="Calibri" w:hAnsi="Calibri" w:cs="Calibri"/>
                <w:color w:val="000000"/>
                <w:sz w:val="14"/>
                <w:szCs w:val="14"/>
              </w:rPr>
              <w:t>)</w:t>
            </w:r>
          </w:p>
        </w:tc>
        <w:tc>
          <w:tcPr>
            <w:tcW w:w="997" w:type="dxa"/>
            <w:tcBorders>
              <w:top w:val="nil"/>
              <w:left w:val="nil"/>
              <w:bottom w:val="nil"/>
              <w:right w:val="single" w:sz="8" w:space="0" w:color="auto"/>
            </w:tcBorders>
            <w:shd w:val="clear" w:color="auto" w:fill="auto"/>
            <w:noWrap/>
            <w:vAlign w:val="center"/>
            <w:hideMark/>
          </w:tcPr>
          <w:p w14:paraId="2C6C05A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0/42 (0.0)</w:t>
            </w:r>
          </w:p>
        </w:tc>
      </w:tr>
      <w:tr w:rsidR="000448D9" w:rsidRPr="00A75E36" w14:paraId="6317D994" w14:textId="77777777" w:rsidTr="009F2006">
        <w:trPr>
          <w:trHeight w:val="320"/>
        </w:trPr>
        <w:tc>
          <w:tcPr>
            <w:tcW w:w="1027" w:type="dxa"/>
            <w:tcBorders>
              <w:top w:val="nil"/>
              <w:left w:val="single" w:sz="8" w:space="0" w:color="auto"/>
              <w:bottom w:val="nil"/>
              <w:right w:val="single" w:sz="8" w:space="0" w:color="auto"/>
            </w:tcBorders>
            <w:shd w:val="clear" w:color="auto" w:fill="auto"/>
            <w:noWrap/>
            <w:vAlign w:val="center"/>
            <w:hideMark/>
          </w:tcPr>
          <w:p w14:paraId="0D00EA3F"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100-1,000</w:t>
            </w:r>
          </w:p>
        </w:tc>
        <w:tc>
          <w:tcPr>
            <w:tcW w:w="996" w:type="dxa"/>
            <w:tcBorders>
              <w:top w:val="nil"/>
              <w:left w:val="nil"/>
              <w:bottom w:val="nil"/>
              <w:right w:val="single" w:sz="8" w:space="0" w:color="auto"/>
            </w:tcBorders>
            <w:shd w:val="clear" w:color="auto" w:fill="auto"/>
            <w:noWrap/>
            <w:vAlign w:val="center"/>
            <w:hideMark/>
          </w:tcPr>
          <w:p w14:paraId="77271D38"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31-34.5</w:t>
            </w:r>
          </w:p>
        </w:tc>
        <w:tc>
          <w:tcPr>
            <w:tcW w:w="996" w:type="dxa"/>
            <w:tcBorders>
              <w:top w:val="nil"/>
              <w:left w:val="nil"/>
              <w:bottom w:val="nil"/>
              <w:right w:val="nil"/>
            </w:tcBorders>
            <w:shd w:val="clear" w:color="auto" w:fill="auto"/>
            <w:noWrap/>
            <w:vAlign w:val="center"/>
            <w:hideMark/>
          </w:tcPr>
          <w:p w14:paraId="3298DF3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1/37 (2.7)</w:t>
            </w:r>
          </w:p>
        </w:tc>
        <w:tc>
          <w:tcPr>
            <w:tcW w:w="997" w:type="dxa"/>
            <w:tcBorders>
              <w:top w:val="nil"/>
              <w:left w:val="nil"/>
              <w:bottom w:val="nil"/>
              <w:right w:val="nil"/>
            </w:tcBorders>
            <w:shd w:val="clear" w:color="auto" w:fill="auto"/>
            <w:noWrap/>
            <w:vAlign w:val="center"/>
            <w:hideMark/>
          </w:tcPr>
          <w:p w14:paraId="2DB8DE3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1/41 (2.4)</w:t>
            </w:r>
          </w:p>
        </w:tc>
        <w:tc>
          <w:tcPr>
            <w:tcW w:w="997" w:type="dxa"/>
            <w:tcBorders>
              <w:top w:val="nil"/>
              <w:left w:val="nil"/>
              <w:bottom w:val="nil"/>
              <w:right w:val="nil"/>
            </w:tcBorders>
            <w:shd w:val="clear" w:color="auto" w:fill="auto"/>
            <w:noWrap/>
            <w:vAlign w:val="center"/>
            <w:hideMark/>
          </w:tcPr>
          <w:p w14:paraId="28326AAE"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0/41 (0.0)</w:t>
            </w:r>
          </w:p>
        </w:tc>
        <w:tc>
          <w:tcPr>
            <w:tcW w:w="997" w:type="dxa"/>
            <w:tcBorders>
              <w:top w:val="nil"/>
              <w:left w:val="nil"/>
              <w:bottom w:val="nil"/>
              <w:right w:val="nil"/>
            </w:tcBorders>
            <w:shd w:val="clear" w:color="auto" w:fill="auto"/>
            <w:noWrap/>
            <w:vAlign w:val="center"/>
            <w:hideMark/>
          </w:tcPr>
          <w:p w14:paraId="3133689B"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0/41 (0.0)</w:t>
            </w:r>
          </w:p>
        </w:tc>
        <w:tc>
          <w:tcPr>
            <w:tcW w:w="997" w:type="dxa"/>
            <w:tcBorders>
              <w:top w:val="nil"/>
              <w:left w:val="nil"/>
              <w:bottom w:val="nil"/>
              <w:right w:val="nil"/>
            </w:tcBorders>
            <w:shd w:val="clear" w:color="auto" w:fill="auto"/>
            <w:noWrap/>
            <w:vAlign w:val="center"/>
            <w:hideMark/>
          </w:tcPr>
          <w:p w14:paraId="1C40E285"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2/41 (4.9)</w:t>
            </w:r>
          </w:p>
        </w:tc>
        <w:tc>
          <w:tcPr>
            <w:tcW w:w="997" w:type="dxa"/>
            <w:tcBorders>
              <w:top w:val="nil"/>
              <w:left w:val="nil"/>
              <w:bottom w:val="nil"/>
              <w:right w:val="nil"/>
            </w:tcBorders>
            <w:shd w:val="clear" w:color="auto" w:fill="auto"/>
            <w:noWrap/>
            <w:vAlign w:val="center"/>
            <w:hideMark/>
          </w:tcPr>
          <w:p w14:paraId="003EC47D"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0/41 (0.0)</w:t>
            </w:r>
          </w:p>
        </w:tc>
        <w:tc>
          <w:tcPr>
            <w:tcW w:w="997" w:type="dxa"/>
            <w:tcBorders>
              <w:top w:val="nil"/>
              <w:left w:val="nil"/>
              <w:bottom w:val="nil"/>
              <w:right w:val="single" w:sz="8" w:space="0" w:color="auto"/>
            </w:tcBorders>
            <w:shd w:val="clear" w:color="auto" w:fill="auto"/>
            <w:noWrap/>
            <w:vAlign w:val="center"/>
            <w:hideMark/>
          </w:tcPr>
          <w:p w14:paraId="03049D6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1/40 (2.5)</w:t>
            </w:r>
          </w:p>
        </w:tc>
      </w:tr>
      <w:tr w:rsidR="000448D9" w:rsidRPr="00A75E36" w14:paraId="009ECEC5" w14:textId="77777777" w:rsidTr="009F2006">
        <w:trPr>
          <w:trHeight w:val="34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2502E476"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&lt;100</w:t>
            </w:r>
          </w:p>
        </w:tc>
        <w:tc>
          <w:tcPr>
            <w:tcW w:w="996" w:type="dxa"/>
            <w:tcBorders>
              <w:top w:val="nil"/>
              <w:left w:val="nil"/>
              <w:bottom w:val="single" w:sz="8" w:space="0" w:color="auto"/>
              <w:right w:val="single" w:sz="8" w:space="0" w:color="auto"/>
            </w:tcBorders>
            <w:shd w:val="clear" w:color="auto" w:fill="auto"/>
            <w:noWrap/>
            <w:vAlign w:val="center"/>
            <w:hideMark/>
          </w:tcPr>
          <w:p w14:paraId="7B035762"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&gt;34.5</w:t>
            </w:r>
          </w:p>
        </w:tc>
        <w:tc>
          <w:tcPr>
            <w:tcW w:w="996" w:type="dxa"/>
            <w:tcBorders>
              <w:top w:val="nil"/>
              <w:left w:val="nil"/>
              <w:bottom w:val="single" w:sz="8" w:space="0" w:color="auto"/>
              <w:right w:val="nil"/>
            </w:tcBorders>
            <w:shd w:val="clear" w:color="auto" w:fill="auto"/>
            <w:noWrap/>
            <w:vAlign w:val="center"/>
            <w:hideMark/>
          </w:tcPr>
          <w:p w14:paraId="4A3C469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0/5 (0.0)</w:t>
            </w:r>
          </w:p>
        </w:tc>
        <w:tc>
          <w:tcPr>
            <w:tcW w:w="997" w:type="dxa"/>
            <w:tcBorders>
              <w:top w:val="nil"/>
              <w:left w:val="nil"/>
              <w:bottom w:val="single" w:sz="8" w:space="0" w:color="auto"/>
              <w:right w:val="nil"/>
            </w:tcBorders>
            <w:shd w:val="clear" w:color="auto" w:fill="auto"/>
            <w:noWrap/>
            <w:vAlign w:val="center"/>
            <w:hideMark/>
          </w:tcPr>
          <w:p w14:paraId="056D99D4"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0/5 (0.0)</w:t>
            </w:r>
          </w:p>
        </w:tc>
        <w:tc>
          <w:tcPr>
            <w:tcW w:w="997" w:type="dxa"/>
            <w:tcBorders>
              <w:top w:val="nil"/>
              <w:left w:val="nil"/>
              <w:bottom w:val="single" w:sz="8" w:space="0" w:color="auto"/>
              <w:right w:val="nil"/>
            </w:tcBorders>
            <w:shd w:val="clear" w:color="auto" w:fill="auto"/>
            <w:noWrap/>
            <w:vAlign w:val="center"/>
            <w:hideMark/>
          </w:tcPr>
          <w:p w14:paraId="58B3149C"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0/5 (0.0)</w:t>
            </w:r>
          </w:p>
        </w:tc>
        <w:tc>
          <w:tcPr>
            <w:tcW w:w="997" w:type="dxa"/>
            <w:tcBorders>
              <w:top w:val="nil"/>
              <w:left w:val="nil"/>
              <w:bottom w:val="single" w:sz="8" w:space="0" w:color="auto"/>
              <w:right w:val="nil"/>
            </w:tcBorders>
            <w:shd w:val="clear" w:color="auto" w:fill="auto"/>
            <w:noWrap/>
            <w:vAlign w:val="center"/>
            <w:hideMark/>
          </w:tcPr>
          <w:p w14:paraId="692A8028"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0/5 (0.0)</w:t>
            </w:r>
          </w:p>
        </w:tc>
        <w:tc>
          <w:tcPr>
            <w:tcW w:w="997" w:type="dxa"/>
            <w:tcBorders>
              <w:top w:val="nil"/>
              <w:left w:val="nil"/>
              <w:bottom w:val="single" w:sz="8" w:space="0" w:color="auto"/>
              <w:right w:val="nil"/>
            </w:tcBorders>
            <w:shd w:val="clear" w:color="auto" w:fill="auto"/>
            <w:noWrap/>
            <w:vAlign w:val="center"/>
            <w:hideMark/>
          </w:tcPr>
          <w:p w14:paraId="1E83766B"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0/5 (0.0)</w:t>
            </w:r>
          </w:p>
        </w:tc>
        <w:tc>
          <w:tcPr>
            <w:tcW w:w="997" w:type="dxa"/>
            <w:tcBorders>
              <w:top w:val="nil"/>
              <w:left w:val="nil"/>
              <w:bottom w:val="single" w:sz="8" w:space="0" w:color="auto"/>
              <w:right w:val="nil"/>
            </w:tcBorders>
            <w:shd w:val="clear" w:color="auto" w:fill="auto"/>
            <w:noWrap/>
            <w:vAlign w:val="center"/>
            <w:hideMark/>
          </w:tcPr>
          <w:p w14:paraId="3462B253"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0/5 (0.0)</w:t>
            </w:r>
          </w:p>
        </w:tc>
        <w:tc>
          <w:tcPr>
            <w:tcW w:w="997" w:type="dxa"/>
            <w:tcBorders>
              <w:top w:val="nil"/>
              <w:left w:val="nil"/>
              <w:bottom w:val="single" w:sz="8" w:space="0" w:color="auto"/>
              <w:right w:val="single" w:sz="8" w:space="0" w:color="auto"/>
            </w:tcBorders>
            <w:shd w:val="clear" w:color="auto" w:fill="auto"/>
            <w:noWrap/>
            <w:vAlign w:val="center"/>
            <w:hideMark/>
          </w:tcPr>
          <w:p w14:paraId="495FF09F"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0/5 (0.0)</w:t>
            </w:r>
          </w:p>
        </w:tc>
      </w:tr>
      <w:tr w:rsidR="000448D9" w:rsidRPr="00A75E36" w14:paraId="0C834910" w14:textId="77777777" w:rsidTr="009F2006">
        <w:trPr>
          <w:trHeight w:val="340"/>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676F0839"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Negative samples</w:t>
            </w:r>
          </w:p>
        </w:tc>
        <w:tc>
          <w:tcPr>
            <w:tcW w:w="996" w:type="dxa"/>
            <w:tcBorders>
              <w:top w:val="nil"/>
              <w:left w:val="nil"/>
              <w:bottom w:val="single" w:sz="8" w:space="0" w:color="auto"/>
              <w:right w:val="single" w:sz="8" w:space="0" w:color="auto"/>
            </w:tcBorders>
            <w:shd w:val="clear" w:color="auto" w:fill="auto"/>
            <w:noWrap/>
            <w:vAlign w:val="center"/>
            <w:hideMark/>
          </w:tcPr>
          <w:p w14:paraId="299B5670"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na</w:t>
            </w:r>
          </w:p>
        </w:tc>
        <w:tc>
          <w:tcPr>
            <w:tcW w:w="996" w:type="dxa"/>
            <w:tcBorders>
              <w:top w:val="nil"/>
              <w:left w:val="nil"/>
              <w:bottom w:val="single" w:sz="8" w:space="0" w:color="auto"/>
              <w:right w:val="nil"/>
            </w:tcBorders>
            <w:shd w:val="clear" w:color="auto" w:fill="auto"/>
            <w:noWrap/>
            <w:vAlign w:val="center"/>
            <w:hideMark/>
          </w:tcPr>
          <w:p w14:paraId="474FE2ED"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0/940 (0.0)</w:t>
            </w:r>
          </w:p>
        </w:tc>
        <w:tc>
          <w:tcPr>
            <w:tcW w:w="997" w:type="dxa"/>
            <w:tcBorders>
              <w:top w:val="nil"/>
              <w:left w:val="nil"/>
              <w:bottom w:val="single" w:sz="8" w:space="0" w:color="auto"/>
              <w:right w:val="nil"/>
            </w:tcBorders>
            <w:shd w:val="clear" w:color="auto" w:fill="auto"/>
            <w:noWrap/>
            <w:vAlign w:val="center"/>
            <w:hideMark/>
          </w:tcPr>
          <w:p w14:paraId="5EC16893" w14:textId="177C89F3"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5/1589 (0.003)</w:t>
            </w:r>
          </w:p>
        </w:tc>
        <w:tc>
          <w:tcPr>
            <w:tcW w:w="997" w:type="dxa"/>
            <w:tcBorders>
              <w:top w:val="nil"/>
              <w:left w:val="nil"/>
              <w:bottom w:val="single" w:sz="8" w:space="0" w:color="auto"/>
              <w:right w:val="nil"/>
            </w:tcBorders>
            <w:shd w:val="clear" w:color="auto" w:fill="auto"/>
            <w:noWrap/>
            <w:vAlign w:val="center"/>
            <w:hideMark/>
          </w:tcPr>
          <w:p w14:paraId="3CD5BE5F"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0/999 (0.0)</w:t>
            </w:r>
          </w:p>
        </w:tc>
        <w:tc>
          <w:tcPr>
            <w:tcW w:w="997" w:type="dxa"/>
            <w:tcBorders>
              <w:top w:val="nil"/>
              <w:left w:val="nil"/>
              <w:bottom w:val="single" w:sz="8" w:space="0" w:color="auto"/>
              <w:right w:val="nil"/>
            </w:tcBorders>
            <w:shd w:val="clear" w:color="auto" w:fill="auto"/>
            <w:noWrap/>
            <w:vAlign w:val="center"/>
            <w:hideMark/>
          </w:tcPr>
          <w:p w14:paraId="6EF51CB9" w14:textId="77777777"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0/1014 (0.0)</w:t>
            </w:r>
          </w:p>
        </w:tc>
        <w:tc>
          <w:tcPr>
            <w:tcW w:w="997" w:type="dxa"/>
            <w:tcBorders>
              <w:top w:val="nil"/>
              <w:left w:val="nil"/>
              <w:bottom w:val="single" w:sz="8" w:space="0" w:color="auto"/>
              <w:right w:val="nil"/>
            </w:tcBorders>
            <w:shd w:val="clear" w:color="auto" w:fill="auto"/>
            <w:noWrap/>
            <w:vAlign w:val="center"/>
            <w:hideMark/>
          </w:tcPr>
          <w:p w14:paraId="4C5BD9B8" w14:textId="12F416FC"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1/1000 (0.001)</w:t>
            </w:r>
          </w:p>
        </w:tc>
        <w:tc>
          <w:tcPr>
            <w:tcW w:w="997" w:type="dxa"/>
            <w:tcBorders>
              <w:top w:val="nil"/>
              <w:left w:val="nil"/>
              <w:bottom w:val="single" w:sz="8" w:space="0" w:color="auto"/>
              <w:right w:val="nil"/>
            </w:tcBorders>
            <w:shd w:val="clear" w:color="auto" w:fill="auto"/>
            <w:noWrap/>
            <w:vAlign w:val="center"/>
            <w:hideMark/>
          </w:tcPr>
          <w:p w14:paraId="7ABC5310" w14:textId="39227AF1" w:rsidR="000448D9" w:rsidRPr="00A75E36" w:rsidRDefault="000448D9" w:rsidP="009F2006">
            <w:pPr>
              <w:rPr>
                <w:rFonts w:ascii="Calibri" w:hAnsi="Calibri" w:cs="Calibri"/>
                <w:color w:val="000000"/>
                <w:sz w:val="14"/>
                <w:szCs w:val="14"/>
              </w:rPr>
            </w:pPr>
            <w:r w:rsidRPr="00A75E36">
              <w:rPr>
                <w:rFonts w:ascii="Calibri" w:hAnsi="Calibri" w:cs="Calibri"/>
                <w:color w:val="000000"/>
                <w:sz w:val="14"/>
                <w:szCs w:val="14"/>
              </w:rPr>
              <w:t>1/</w:t>
            </w:r>
            <w:r w:rsidR="00223044">
              <w:rPr>
                <w:rFonts w:ascii="Calibri" w:hAnsi="Calibri" w:cs="Calibri"/>
                <w:color w:val="000000"/>
                <w:sz w:val="14"/>
                <w:szCs w:val="14"/>
              </w:rPr>
              <w:t>996</w:t>
            </w:r>
            <w:r w:rsidRPr="00A75E36">
              <w:rPr>
                <w:rFonts w:ascii="Calibri" w:hAnsi="Calibri" w:cs="Calibri"/>
                <w:color w:val="000000"/>
                <w:sz w:val="14"/>
                <w:szCs w:val="14"/>
              </w:rPr>
              <w:t xml:space="preserve"> (0.0</w:t>
            </w:r>
            <w:r w:rsidR="00223044">
              <w:rPr>
                <w:rFonts w:ascii="Calibri" w:hAnsi="Calibri" w:cs="Calibri"/>
                <w:color w:val="000000"/>
                <w:sz w:val="14"/>
                <w:szCs w:val="14"/>
              </w:rPr>
              <w:t>01</w:t>
            </w:r>
            <w:r w:rsidRPr="00A75E36">
              <w:rPr>
                <w:rFonts w:ascii="Calibri" w:hAnsi="Calibri" w:cs="Calibri"/>
                <w:color w:val="000000"/>
                <w:sz w:val="14"/>
                <w:szCs w:val="14"/>
              </w:rPr>
              <w:t>)</w:t>
            </w:r>
          </w:p>
        </w:tc>
        <w:tc>
          <w:tcPr>
            <w:tcW w:w="997" w:type="dxa"/>
            <w:tcBorders>
              <w:top w:val="nil"/>
              <w:left w:val="nil"/>
              <w:bottom w:val="single" w:sz="8" w:space="0" w:color="auto"/>
              <w:right w:val="single" w:sz="8" w:space="0" w:color="auto"/>
            </w:tcBorders>
            <w:shd w:val="clear" w:color="auto" w:fill="auto"/>
            <w:noWrap/>
            <w:vAlign w:val="center"/>
            <w:hideMark/>
          </w:tcPr>
          <w:p w14:paraId="42701C6D" w14:textId="77777777" w:rsidR="000448D9" w:rsidRDefault="00223044" w:rsidP="009F2006">
            <w:pPr>
              <w:rPr>
                <w:rFonts w:ascii="Calibri" w:hAnsi="Calibri" w:cs="Calibri"/>
                <w:color w:val="000000"/>
                <w:sz w:val="14"/>
                <w:szCs w:val="14"/>
              </w:rPr>
            </w:pPr>
            <w:r>
              <w:rPr>
                <w:rFonts w:ascii="Calibri" w:hAnsi="Calibri" w:cs="Calibri"/>
                <w:color w:val="000000"/>
                <w:sz w:val="14"/>
                <w:szCs w:val="14"/>
              </w:rPr>
              <w:t>1/995</w:t>
            </w:r>
          </w:p>
          <w:p w14:paraId="25CB8A3F" w14:textId="7AD34EA2" w:rsidR="00223044" w:rsidRPr="00A75E36" w:rsidRDefault="00223044" w:rsidP="009F2006">
            <w:pPr>
              <w:rPr>
                <w:rFonts w:ascii="Calibri" w:hAnsi="Calibri" w:cs="Calibri"/>
                <w:color w:val="000000"/>
                <w:sz w:val="14"/>
                <w:szCs w:val="14"/>
              </w:rPr>
            </w:pPr>
            <w:r>
              <w:rPr>
                <w:rFonts w:ascii="Calibri" w:hAnsi="Calibri" w:cs="Calibri"/>
                <w:color w:val="000000"/>
                <w:sz w:val="14"/>
                <w:szCs w:val="14"/>
              </w:rPr>
              <w:t>(0.001)</w:t>
            </w:r>
          </w:p>
        </w:tc>
      </w:tr>
    </w:tbl>
    <w:p w14:paraId="6EFDF145" w14:textId="1F1DCAA5" w:rsidR="00C64AAA" w:rsidRDefault="00C64AAA" w:rsidP="000448D9">
      <w:pPr>
        <w:jc w:val="both"/>
        <w:rPr>
          <w:rFonts w:ascii="Arial" w:hAnsi="Arial" w:cs="Arial"/>
          <w:i/>
          <w:color w:val="000000" w:themeColor="text1"/>
          <w:sz w:val="14"/>
          <w:szCs w:val="14"/>
        </w:rPr>
      </w:pPr>
    </w:p>
    <w:p w14:paraId="637EAC79" w14:textId="77777777" w:rsidR="000978EC" w:rsidRDefault="000978EC" w:rsidP="000978EC">
      <w:pPr>
        <w:jc w:val="both"/>
        <w:rPr>
          <w:rFonts w:ascii="Arial" w:hAnsi="Arial" w:cs="Arial"/>
          <w:color w:val="000000" w:themeColor="text1"/>
          <w:sz w:val="14"/>
          <w:szCs w:val="14"/>
        </w:rPr>
      </w:pPr>
    </w:p>
    <w:p w14:paraId="611260B8" w14:textId="19155C32" w:rsidR="000978EC" w:rsidRDefault="000978EC" w:rsidP="000978EC">
      <w:pPr>
        <w:jc w:val="both"/>
        <w:rPr>
          <w:rFonts w:ascii="Arial" w:hAnsi="Arial" w:cs="Arial"/>
          <w:color w:val="000000" w:themeColor="text1"/>
          <w:sz w:val="14"/>
          <w:szCs w:val="14"/>
        </w:rPr>
      </w:pPr>
      <w:r>
        <w:rPr>
          <w:rFonts w:ascii="Arial" w:hAnsi="Arial" w:cs="Arial"/>
          <w:color w:val="000000" w:themeColor="text1"/>
          <w:sz w:val="14"/>
          <w:szCs w:val="14"/>
        </w:rPr>
        <w:t xml:space="preserve">Supplementary Table 2. Associations between patient features, symptoms, past medical history and LFD result from individuals with COVID-19 positive PCR samples in the Falcon-C19 study. </w:t>
      </w:r>
    </w:p>
    <w:p w14:paraId="54F3E90B" w14:textId="77777777" w:rsidR="00C64AAA" w:rsidRDefault="00C64AAA" w:rsidP="000448D9">
      <w:pPr>
        <w:jc w:val="both"/>
        <w:rPr>
          <w:rFonts w:ascii="Arial" w:hAnsi="Arial" w:cs="Arial"/>
          <w:i/>
          <w:color w:val="000000" w:themeColor="text1"/>
          <w:sz w:val="14"/>
          <w:szCs w:val="14"/>
        </w:rPr>
      </w:pPr>
    </w:p>
    <w:tbl>
      <w:tblPr>
        <w:tblW w:w="8471" w:type="dxa"/>
        <w:tblLook w:val="04A0" w:firstRow="1" w:lastRow="0" w:firstColumn="1" w:lastColumn="0" w:noHBand="0" w:noVBand="1"/>
      </w:tblPr>
      <w:tblGrid>
        <w:gridCol w:w="2211"/>
        <w:gridCol w:w="900"/>
        <w:gridCol w:w="1040"/>
        <w:gridCol w:w="1160"/>
        <w:gridCol w:w="1625"/>
        <w:gridCol w:w="743"/>
        <w:gridCol w:w="980"/>
      </w:tblGrid>
      <w:tr w:rsidR="00662AD3" w:rsidRPr="00662AD3" w14:paraId="72F643FA" w14:textId="77777777" w:rsidTr="00FA5C21">
        <w:trPr>
          <w:trHeight w:val="220"/>
        </w:trPr>
        <w:tc>
          <w:tcPr>
            <w:tcW w:w="2211" w:type="dxa"/>
            <w:tcBorders>
              <w:top w:val="single" w:sz="8" w:space="0" w:color="auto"/>
              <w:left w:val="single" w:sz="8" w:space="0" w:color="auto"/>
              <w:bottom w:val="single" w:sz="8" w:space="0" w:color="auto"/>
              <w:right w:val="nil"/>
            </w:tcBorders>
            <w:shd w:val="clear" w:color="000000" w:fill="E7E6E6"/>
            <w:noWrap/>
            <w:vAlign w:val="bottom"/>
            <w:hideMark/>
          </w:tcPr>
          <w:p w14:paraId="62349802"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 </w:t>
            </w:r>
          </w:p>
        </w:tc>
        <w:tc>
          <w:tcPr>
            <w:tcW w:w="900" w:type="dxa"/>
            <w:tcBorders>
              <w:top w:val="single" w:sz="8" w:space="0" w:color="auto"/>
              <w:left w:val="single" w:sz="8" w:space="0" w:color="auto"/>
              <w:bottom w:val="single" w:sz="8" w:space="0" w:color="auto"/>
              <w:right w:val="nil"/>
            </w:tcBorders>
            <w:shd w:val="clear" w:color="000000" w:fill="E7E6E6"/>
            <w:noWrap/>
            <w:vAlign w:val="bottom"/>
            <w:hideMark/>
          </w:tcPr>
          <w:p w14:paraId="16B875A5"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Total Cohort (n=421)</w:t>
            </w:r>
          </w:p>
        </w:tc>
        <w:tc>
          <w:tcPr>
            <w:tcW w:w="1040" w:type="dxa"/>
            <w:tcBorders>
              <w:top w:val="single" w:sz="8" w:space="0" w:color="auto"/>
              <w:left w:val="nil"/>
              <w:bottom w:val="single" w:sz="8" w:space="0" w:color="auto"/>
              <w:right w:val="nil"/>
            </w:tcBorders>
            <w:shd w:val="clear" w:color="000000" w:fill="E7E6E6"/>
            <w:noWrap/>
            <w:vAlign w:val="bottom"/>
            <w:hideMark/>
          </w:tcPr>
          <w:p w14:paraId="3D860A84"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LFD-Positive (n=312)</w:t>
            </w:r>
          </w:p>
        </w:tc>
        <w:tc>
          <w:tcPr>
            <w:tcW w:w="1160" w:type="dxa"/>
            <w:tcBorders>
              <w:top w:val="single" w:sz="8" w:space="0" w:color="auto"/>
              <w:left w:val="nil"/>
              <w:bottom w:val="single" w:sz="8" w:space="0" w:color="auto"/>
              <w:right w:val="single" w:sz="8" w:space="0" w:color="auto"/>
            </w:tcBorders>
            <w:shd w:val="clear" w:color="000000" w:fill="E7E6E6"/>
            <w:noWrap/>
            <w:vAlign w:val="bottom"/>
            <w:hideMark/>
          </w:tcPr>
          <w:p w14:paraId="5A4E400B"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LFD-Negative (n=109)</w:t>
            </w:r>
          </w:p>
        </w:tc>
        <w:tc>
          <w:tcPr>
            <w:tcW w:w="1625" w:type="dxa"/>
            <w:tcBorders>
              <w:top w:val="single" w:sz="8" w:space="0" w:color="auto"/>
              <w:left w:val="nil"/>
              <w:bottom w:val="single" w:sz="8" w:space="0" w:color="auto"/>
              <w:right w:val="single" w:sz="8" w:space="0" w:color="auto"/>
            </w:tcBorders>
            <w:shd w:val="clear" w:color="000000" w:fill="E7E6E6"/>
            <w:noWrap/>
            <w:vAlign w:val="bottom"/>
            <w:hideMark/>
          </w:tcPr>
          <w:p w14:paraId="06FBDAE3"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Odds Ratio (95% CI)</w:t>
            </w:r>
          </w:p>
        </w:tc>
        <w:tc>
          <w:tcPr>
            <w:tcW w:w="555" w:type="dxa"/>
            <w:tcBorders>
              <w:top w:val="single" w:sz="8" w:space="0" w:color="auto"/>
              <w:left w:val="nil"/>
              <w:bottom w:val="single" w:sz="8" w:space="0" w:color="auto"/>
              <w:right w:val="nil"/>
            </w:tcBorders>
            <w:shd w:val="clear" w:color="000000" w:fill="E7E6E6"/>
            <w:noWrap/>
            <w:vAlign w:val="bottom"/>
            <w:hideMark/>
          </w:tcPr>
          <w:p w14:paraId="0708F7BB"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p value</w:t>
            </w:r>
          </w:p>
        </w:tc>
        <w:tc>
          <w:tcPr>
            <w:tcW w:w="980" w:type="dxa"/>
            <w:tcBorders>
              <w:top w:val="single" w:sz="8" w:space="0" w:color="auto"/>
              <w:left w:val="nil"/>
              <w:bottom w:val="single" w:sz="8" w:space="0" w:color="auto"/>
              <w:right w:val="single" w:sz="8" w:space="0" w:color="auto"/>
            </w:tcBorders>
            <w:shd w:val="clear" w:color="000000" w:fill="E7E6E6"/>
            <w:noWrap/>
            <w:vAlign w:val="bottom"/>
            <w:hideMark/>
          </w:tcPr>
          <w:p w14:paraId="7E147C6C"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p adjusted</w:t>
            </w:r>
          </w:p>
        </w:tc>
      </w:tr>
      <w:tr w:rsidR="00662AD3" w:rsidRPr="00662AD3" w14:paraId="1EE5AACD"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6C9ABAB0" w14:textId="77777777" w:rsidR="00662AD3" w:rsidRPr="00662AD3" w:rsidRDefault="00662AD3" w:rsidP="00662AD3">
            <w:pPr>
              <w:rPr>
                <w:rFonts w:ascii="Calibri" w:hAnsi="Calibri" w:cs="Calibri"/>
                <w:b/>
                <w:bCs/>
                <w:color w:val="000000"/>
                <w:sz w:val="16"/>
                <w:szCs w:val="16"/>
              </w:rPr>
            </w:pPr>
            <w:r w:rsidRPr="00662AD3">
              <w:rPr>
                <w:rFonts w:ascii="Calibri" w:hAnsi="Calibri" w:cs="Calibri"/>
                <w:b/>
                <w:bCs/>
                <w:color w:val="000000"/>
                <w:sz w:val="16"/>
                <w:szCs w:val="16"/>
              </w:rPr>
              <w:t>Patient Features</w:t>
            </w:r>
          </w:p>
        </w:tc>
        <w:tc>
          <w:tcPr>
            <w:tcW w:w="900" w:type="dxa"/>
            <w:tcBorders>
              <w:top w:val="nil"/>
              <w:left w:val="single" w:sz="8" w:space="0" w:color="auto"/>
              <w:bottom w:val="nil"/>
              <w:right w:val="nil"/>
            </w:tcBorders>
            <w:shd w:val="clear" w:color="auto" w:fill="auto"/>
            <w:noWrap/>
            <w:vAlign w:val="bottom"/>
            <w:hideMark/>
          </w:tcPr>
          <w:p w14:paraId="06F8EF4C"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 </w:t>
            </w:r>
          </w:p>
        </w:tc>
        <w:tc>
          <w:tcPr>
            <w:tcW w:w="1040" w:type="dxa"/>
            <w:tcBorders>
              <w:top w:val="nil"/>
              <w:left w:val="nil"/>
              <w:bottom w:val="nil"/>
              <w:right w:val="nil"/>
            </w:tcBorders>
            <w:shd w:val="clear" w:color="auto" w:fill="auto"/>
            <w:noWrap/>
            <w:vAlign w:val="bottom"/>
            <w:hideMark/>
          </w:tcPr>
          <w:p w14:paraId="1700E5BE" w14:textId="77777777" w:rsidR="00662AD3" w:rsidRPr="00662AD3" w:rsidRDefault="00662AD3" w:rsidP="00662AD3">
            <w:pPr>
              <w:rPr>
                <w:rFonts w:ascii="Calibri" w:hAnsi="Calibri" w:cs="Calibri"/>
                <w:color w:val="000000"/>
                <w:sz w:val="16"/>
                <w:szCs w:val="16"/>
              </w:rPr>
            </w:pPr>
          </w:p>
        </w:tc>
        <w:tc>
          <w:tcPr>
            <w:tcW w:w="1160" w:type="dxa"/>
            <w:tcBorders>
              <w:top w:val="nil"/>
              <w:left w:val="nil"/>
              <w:bottom w:val="nil"/>
              <w:right w:val="single" w:sz="8" w:space="0" w:color="auto"/>
            </w:tcBorders>
            <w:shd w:val="clear" w:color="auto" w:fill="auto"/>
            <w:noWrap/>
            <w:vAlign w:val="bottom"/>
            <w:hideMark/>
          </w:tcPr>
          <w:p w14:paraId="187A672B"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 </w:t>
            </w:r>
          </w:p>
        </w:tc>
        <w:tc>
          <w:tcPr>
            <w:tcW w:w="1625" w:type="dxa"/>
            <w:tcBorders>
              <w:top w:val="nil"/>
              <w:left w:val="nil"/>
              <w:bottom w:val="nil"/>
              <w:right w:val="single" w:sz="8" w:space="0" w:color="auto"/>
            </w:tcBorders>
            <w:shd w:val="clear" w:color="auto" w:fill="auto"/>
            <w:noWrap/>
            <w:vAlign w:val="bottom"/>
            <w:hideMark/>
          </w:tcPr>
          <w:p w14:paraId="2AD4987E"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 </w:t>
            </w:r>
          </w:p>
        </w:tc>
        <w:tc>
          <w:tcPr>
            <w:tcW w:w="555" w:type="dxa"/>
            <w:tcBorders>
              <w:top w:val="nil"/>
              <w:left w:val="nil"/>
              <w:bottom w:val="nil"/>
              <w:right w:val="nil"/>
            </w:tcBorders>
            <w:shd w:val="clear" w:color="auto" w:fill="auto"/>
            <w:noWrap/>
            <w:vAlign w:val="bottom"/>
            <w:hideMark/>
          </w:tcPr>
          <w:p w14:paraId="38EAD245" w14:textId="77777777" w:rsidR="00662AD3" w:rsidRPr="00662AD3" w:rsidRDefault="00662AD3" w:rsidP="00662AD3">
            <w:pPr>
              <w:jc w:val="center"/>
              <w:rPr>
                <w:rFonts w:ascii="Calibri" w:hAnsi="Calibri" w:cs="Calibri"/>
                <w:color w:val="000000"/>
                <w:sz w:val="16"/>
                <w:szCs w:val="16"/>
              </w:rPr>
            </w:pPr>
          </w:p>
        </w:tc>
        <w:tc>
          <w:tcPr>
            <w:tcW w:w="980" w:type="dxa"/>
            <w:tcBorders>
              <w:top w:val="nil"/>
              <w:left w:val="nil"/>
              <w:bottom w:val="nil"/>
              <w:right w:val="single" w:sz="8" w:space="0" w:color="auto"/>
            </w:tcBorders>
            <w:shd w:val="clear" w:color="auto" w:fill="auto"/>
            <w:noWrap/>
            <w:vAlign w:val="bottom"/>
            <w:hideMark/>
          </w:tcPr>
          <w:p w14:paraId="23917942"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r>
      <w:tr w:rsidR="00662AD3" w:rsidRPr="00662AD3" w14:paraId="07020B51"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6BD63B6F" w14:textId="32B2CBFC"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Age (</w:t>
            </w:r>
            <w:r>
              <w:rPr>
                <w:rFonts w:ascii="Calibri" w:hAnsi="Calibri" w:cs="Calibri"/>
                <w:color w:val="000000"/>
                <w:sz w:val="16"/>
                <w:szCs w:val="16"/>
              </w:rPr>
              <w:t>M</w:t>
            </w:r>
            <w:r w:rsidRPr="00662AD3">
              <w:rPr>
                <w:rFonts w:ascii="Calibri" w:hAnsi="Calibri" w:cs="Calibri"/>
                <w:color w:val="000000"/>
                <w:sz w:val="16"/>
                <w:szCs w:val="16"/>
              </w:rPr>
              <w:t>edian Years)</w:t>
            </w:r>
          </w:p>
        </w:tc>
        <w:tc>
          <w:tcPr>
            <w:tcW w:w="900" w:type="dxa"/>
            <w:tcBorders>
              <w:top w:val="nil"/>
              <w:left w:val="single" w:sz="8" w:space="0" w:color="auto"/>
              <w:bottom w:val="nil"/>
              <w:right w:val="nil"/>
            </w:tcBorders>
            <w:shd w:val="clear" w:color="auto" w:fill="auto"/>
            <w:noWrap/>
            <w:vAlign w:val="bottom"/>
            <w:hideMark/>
          </w:tcPr>
          <w:p w14:paraId="14B2FDAC"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33</w:t>
            </w:r>
          </w:p>
        </w:tc>
        <w:tc>
          <w:tcPr>
            <w:tcW w:w="1040" w:type="dxa"/>
            <w:tcBorders>
              <w:top w:val="nil"/>
              <w:left w:val="nil"/>
              <w:bottom w:val="nil"/>
              <w:right w:val="nil"/>
            </w:tcBorders>
            <w:shd w:val="clear" w:color="auto" w:fill="auto"/>
            <w:noWrap/>
            <w:vAlign w:val="bottom"/>
            <w:hideMark/>
          </w:tcPr>
          <w:p w14:paraId="31BA7C23"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32</w:t>
            </w:r>
          </w:p>
        </w:tc>
        <w:tc>
          <w:tcPr>
            <w:tcW w:w="1160" w:type="dxa"/>
            <w:tcBorders>
              <w:top w:val="nil"/>
              <w:left w:val="nil"/>
              <w:bottom w:val="nil"/>
              <w:right w:val="single" w:sz="8" w:space="0" w:color="auto"/>
            </w:tcBorders>
            <w:shd w:val="clear" w:color="auto" w:fill="auto"/>
            <w:noWrap/>
            <w:vAlign w:val="bottom"/>
            <w:hideMark/>
          </w:tcPr>
          <w:p w14:paraId="5A391D9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35</w:t>
            </w:r>
          </w:p>
        </w:tc>
        <w:tc>
          <w:tcPr>
            <w:tcW w:w="1625" w:type="dxa"/>
            <w:tcBorders>
              <w:top w:val="nil"/>
              <w:left w:val="nil"/>
              <w:bottom w:val="nil"/>
              <w:right w:val="single" w:sz="8" w:space="0" w:color="auto"/>
            </w:tcBorders>
            <w:shd w:val="clear" w:color="auto" w:fill="auto"/>
            <w:noWrap/>
            <w:vAlign w:val="bottom"/>
            <w:hideMark/>
          </w:tcPr>
          <w:p w14:paraId="5C30D949"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1.00 (0.98-1.01)</w:t>
            </w:r>
          </w:p>
        </w:tc>
        <w:tc>
          <w:tcPr>
            <w:tcW w:w="555" w:type="dxa"/>
            <w:tcBorders>
              <w:top w:val="nil"/>
              <w:left w:val="nil"/>
              <w:bottom w:val="nil"/>
              <w:right w:val="nil"/>
            </w:tcBorders>
            <w:shd w:val="clear" w:color="auto" w:fill="auto"/>
            <w:noWrap/>
            <w:vAlign w:val="bottom"/>
            <w:hideMark/>
          </w:tcPr>
          <w:p w14:paraId="590C9E8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0.63</w:t>
            </w:r>
          </w:p>
        </w:tc>
        <w:tc>
          <w:tcPr>
            <w:tcW w:w="980" w:type="dxa"/>
            <w:tcBorders>
              <w:top w:val="nil"/>
              <w:left w:val="nil"/>
              <w:bottom w:val="nil"/>
              <w:right w:val="single" w:sz="8" w:space="0" w:color="auto"/>
            </w:tcBorders>
            <w:shd w:val="clear" w:color="auto" w:fill="auto"/>
            <w:noWrap/>
            <w:vAlign w:val="bottom"/>
            <w:hideMark/>
          </w:tcPr>
          <w:p w14:paraId="542ABF8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7FC69264"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7478C62A"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Age=No data</w:t>
            </w:r>
          </w:p>
        </w:tc>
        <w:tc>
          <w:tcPr>
            <w:tcW w:w="900" w:type="dxa"/>
            <w:tcBorders>
              <w:top w:val="nil"/>
              <w:left w:val="single" w:sz="8" w:space="0" w:color="auto"/>
              <w:bottom w:val="nil"/>
              <w:right w:val="nil"/>
            </w:tcBorders>
            <w:shd w:val="clear" w:color="auto" w:fill="auto"/>
            <w:noWrap/>
            <w:vAlign w:val="bottom"/>
            <w:hideMark/>
          </w:tcPr>
          <w:p w14:paraId="58572BBF"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91</w:t>
            </w:r>
          </w:p>
        </w:tc>
        <w:tc>
          <w:tcPr>
            <w:tcW w:w="1040" w:type="dxa"/>
            <w:tcBorders>
              <w:top w:val="nil"/>
              <w:left w:val="nil"/>
              <w:bottom w:val="nil"/>
              <w:right w:val="nil"/>
            </w:tcBorders>
            <w:shd w:val="clear" w:color="auto" w:fill="auto"/>
            <w:noWrap/>
            <w:vAlign w:val="bottom"/>
            <w:hideMark/>
          </w:tcPr>
          <w:p w14:paraId="23362D3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63</w:t>
            </w:r>
          </w:p>
        </w:tc>
        <w:tc>
          <w:tcPr>
            <w:tcW w:w="1160" w:type="dxa"/>
            <w:tcBorders>
              <w:top w:val="nil"/>
              <w:left w:val="nil"/>
              <w:bottom w:val="nil"/>
              <w:right w:val="single" w:sz="8" w:space="0" w:color="auto"/>
            </w:tcBorders>
            <w:shd w:val="clear" w:color="auto" w:fill="auto"/>
            <w:noWrap/>
            <w:vAlign w:val="bottom"/>
            <w:hideMark/>
          </w:tcPr>
          <w:p w14:paraId="70711687"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28</w:t>
            </w:r>
          </w:p>
        </w:tc>
        <w:tc>
          <w:tcPr>
            <w:tcW w:w="1625" w:type="dxa"/>
            <w:tcBorders>
              <w:top w:val="nil"/>
              <w:left w:val="nil"/>
              <w:bottom w:val="nil"/>
              <w:right w:val="single" w:sz="8" w:space="0" w:color="auto"/>
            </w:tcBorders>
            <w:shd w:val="clear" w:color="auto" w:fill="auto"/>
            <w:noWrap/>
            <w:vAlign w:val="bottom"/>
            <w:hideMark/>
          </w:tcPr>
          <w:p w14:paraId="3D7A35CD"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 </w:t>
            </w:r>
          </w:p>
        </w:tc>
        <w:tc>
          <w:tcPr>
            <w:tcW w:w="555" w:type="dxa"/>
            <w:tcBorders>
              <w:top w:val="nil"/>
              <w:left w:val="nil"/>
              <w:bottom w:val="nil"/>
              <w:right w:val="nil"/>
            </w:tcBorders>
            <w:shd w:val="clear" w:color="auto" w:fill="auto"/>
            <w:noWrap/>
            <w:vAlign w:val="bottom"/>
            <w:hideMark/>
          </w:tcPr>
          <w:p w14:paraId="146EBD96" w14:textId="77777777" w:rsidR="00662AD3" w:rsidRPr="00662AD3" w:rsidRDefault="00662AD3" w:rsidP="00662AD3">
            <w:pPr>
              <w:jc w:val="center"/>
              <w:rPr>
                <w:rFonts w:ascii="Calibri" w:hAnsi="Calibri" w:cs="Calibri"/>
                <w:color w:val="000000"/>
                <w:sz w:val="16"/>
                <w:szCs w:val="16"/>
              </w:rPr>
            </w:pPr>
          </w:p>
        </w:tc>
        <w:tc>
          <w:tcPr>
            <w:tcW w:w="980" w:type="dxa"/>
            <w:tcBorders>
              <w:top w:val="nil"/>
              <w:left w:val="nil"/>
              <w:bottom w:val="nil"/>
              <w:right w:val="single" w:sz="8" w:space="0" w:color="auto"/>
            </w:tcBorders>
            <w:shd w:val="clear" w:color="auto" w:fill="auto"/>
            <w:noWrap/>
            <w:vAlign w:val="bottom"/>
            <w:hideMark/>
          </w:tcPr>
          <w:p w14:paraId="776BDB3C"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r>
      <w:tr w:rsidR="00662AD3" w:rsidRPr="00662AD3" w14:paraId="452D9A39"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7FEB016F" w14:textId="38C226D8" w:rsidR="00662AD3" w:rsidRPr="00662AD3" w:rsidRDefault="00C64AAA" w:rsidP="00662AD3">
            <w:pPr>
              <w:rPr>
                <w:rFonts w:ascii="Calibri" w:hAnsi="Calibri" w:cs="Calibri"/>
                <w:color w:val="000000"/>
                <w:sz w:val="16"/>
                <w:szCs w:val="16"/>
              </w:rPr>
            </w:pPr>
            <w:r>
              <w:rPr>
                <w:rFonts w:ascii="Calibri" w:hAnsi="Calibri" w:cs="Calibri"/>
                <w:color w:val="000000"/>
                <w:sz w:val="16"/>
                <w:szCs w:val="16"/>
              </w:rPr>
              <w:t>Male</w:t>
            </w:r>
          </w:p>
        </w:tc>
        <w:tc>
          <w:tcPr>
            <w:tcW w:w="900" w:type="dxa"/>
            <w:tcBorders>
              <w:top w:val="nil"/>
              <w:left w:val="single" w:sz="8" w:space="0" w:color="auto"/>
              <w:bottom w:val="nil"/>
              <w:right w:val="nil"/>
            </w:tcBorders>
            <w:shd w:val="clear" w:color="auto" w:fill="auto"/>
            <w:noWrap/>
            <w:vAlign w:val="bottom"/>
            <w:hideMark/>
          </w:tcPr>
          <w:p w14:paraId="75A2E9F2"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168</w:t>
            </w:r>
          </w:p>
        </w:tc>
        <w:tc>
          <w:tcPr>
            <w:tcW w:w="1040" w:type="dxa"/>
            <w:tcBorders>
              <w:top w:val="nil"/>
              <w:left w:val="nil"/>
              <w:bottom w:val="nil"/>
              <w:right w:val="nil"/>
            </w:tcBorders>
            <w:shd w:val="clear" w:color="auto" w:fill="auto"/>
            <w:noWrap/>
            <w:vAlign w:val="bottom"/>
            <w:hideMark/>
          </w:tcPr>
          <w:p w14:paraId="05F5D50A"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126</w:t>
            </w:r>
          </w:p>
        </w:tc>
        <w:tc>
          <w:tcPr>
            <w:tcW w:w="1160" w:type="dxa"/>
            <w:tcBorders>
              <w:top w:val="nil"/>
              <w:left w:val="nil"/>
              <w:bottom w:val="nil"/>
              <w:right w:val="single" w:sz="8" w:space="0" w:color="auto"/>
            </w:tcBorders>
            <w:shd w:val="clear" w:color="auto" w:fill="auto"/>
            <w:noWrap/>
            <w:vAlign w:val="bottom"/>
            <w:hideMark/>
          </w:tcPr>
          <w:p w14:paraId="42FA984E"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42</w:t>
            </w:r>
          </w:p>
        </w:tc>
        <w:tc>
          <w:tcPr>
            <w:tcW w:w="1625" w:type="dxa"/>
            <w:tcBorders>
              <w:top w:val="nil"/>
              <w:left w:val="nil"/>
              <w:bottom w:val="nil"/>
              <w:right w:val="single" w:sz="8" w:space="0" w:color="auto"/>
            </w:tcBorders>
            <w:shd w:val="clear" w:color="auto" w:fill="auto"/>
            <w:noWrap/>
            <w:vAlign w:val="bottom"/>
            <w:hideMark/>
          </w:tcPr>
          <w:p w14:paraId="22B1C09B"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1.08 (0.65-1.77)</w:t>
            </w:r>
          </w:p>
        </w:tc>
        <w:tc>
          <w:tcPr>
            <w:tcW w:w="555" w:type="dxa"/>
            <w:tcBorders>
              <w:top w:val="nil"/>
              <w:left w:val="nil"/>
              <w:bottom w:val="nil"/>
              <w:right w:val="nil"/>
            </w:tcBorders>
            <w:shd w:val="clear" w:color="auto" w:fill="auto"/>
            <w:noWrap/>
            <w:vAlign w:val="bottom"/>
            <w:hideMark/>
          </w:tcPr>
          <w:p w14:paraId="1836ACBD"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0.78</w:t>
            </w:r>
          </w:p>
        </w:tc>
        <w:tc>
          <w:tcPr>
            <w:tcW w:w="980" w:type="dxa"/>
            <w:tcBorders>
              <w:top w:val="nil"/>
              <w:left w:val="nil"/>
              <w:bottom w:val="nil"/>
              <w:right w:val="single" w:sz="8" w:space="0" w:color="auto"/>
            </w:tcBorders>
            <w:shd w:val="clear" w:color="auto" w:fill="auto"/>
            <w:noWrap/>
            <w:vAlign w:val="bottom"/>
            <w:hideMark/>
          </w:tcPr>
          <w:p w14:paraId="048D8B82"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68510E04"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018245B1" w14:textId="2AD21CBE" w:rsidR="00662AD3" w:rsidRPr="00662AD3" w:rsidRDefault="00C64AAA" w:rsidP="00662AD3">
            <w:pPr>
              <w:rPr>
                <w:rFonts w:ascii="Calibri" w:hAnsi="Calibri" w:cs="Calibri"/>
                <w:color w:val="000000"/>
                <w:sz w:val="16"/>
                <w:szCs w:val="16"/>
              </w:rPr>
            </w:pPr>
            <w:r>
              <w:rPr>
                <w:rFonts w:ascii="Calibri" w:hAnsi="Calibri" w:cs="Calibri"/>
                <w:color w:val="000000"/>
                <w:sz w:val="16"/>
                <w:szCs w:val="16"/>
              </w:rPr>
              <w:t>Female</w:t>
            </w:r>
          </w:p>
        </w:tc>
        <w:tc>
          <w:tcPr>
            <w:tcW w:w="900" w:type="dxa"/>
            <w:tcBorders>
              <w:top w:val="nil"/>
              <w:left w:val="single" w:sz="8" w:space="0" w:color="auto"/>
              <w:bottom w:val="nil"/>
              <w:right w:val="nil"/>
            </w:tcBorders>
            <w:shd w:val="clear" w:color="auto" w:fill="auto"/>
            <w:noWrap/>
            <w:vAlign w:val="bottom"/>
            <w:hideMark/>
          </w:tcPr>
          <w:p w14:paraId="7DB847A0"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169</w:t>
            </w:r>
          </w:p>
        </w:tc>
        <w:tc>
          <w:tcPr>
            <w:tcW w:w="1040" w:type="dxa"/>
            <w:tcBorders>
              <w:top w:val="nil"/>
              <w:left w:val="nil"/>
              <w:bottom w:val="nil"/>
              <w:right w:val="nil"/>
            </w:tcBorders>
            <w:shd w:val="clear" w:color="auto" w:fill="auto"/>
            <w:noWrap/>
            <w:vAlign w:val="bottom"/>
            <w:hideMark/>
          </w:tcPr>
          <w:p w14:paraId="21A0CB6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129</w:t>
            </w:r>
          </w:p>
        </w:tc>
        <w:tc>
          <w:tcPr>
            <w:tcW w:w="1160" w:type="dxa"/>
            <w:tcBorders>
              <w:top w:val="nil"/>
              <w:left w:val="nil"/>
              <w:bottom w:val="nil"/>
              <w:right w:val="single" w:sz="8" w:space="0" w:color="auto"/>
            </w:tcBorders>
            <w:shd w:val="clear" w:color="auto" w:fill="auto"/>
            <w:noWrap/>
            <w:vAlign w:val="bottom"/>
            <w:hideMark/>
          </w:tcPr>
          <w:p w14:paraId="30A7DA41"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40</w:t>
            </w:r>
          </w:p>
        </w:tc>
        <w:tc>
          <w:tcPr>
            <w:tcW w:w="1625" w:type="dxa"/>
            <w:tcBorders>
              <w:top w:val="nil"/>
              <w:left w:val="nil"/>
              <w:bottom w:val="nil"/>
              <w:right w:val="single" w:sz="8" w:space="0" w:color="auto"/>
            </w:tcBorders>
            <w:shd w:val="clear" w:color="auto" w:fill="auto"/>
            <w:noWrap/>
            <w:vAlign w:val="bottom"/>
            <w:hideMark/>
          </w:tcPr>
          <w:p w14:paraId="326CAD0E"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 </w:t>
            </w:r>
          </w:p>
        </w:tc>
        <w:tc>
          <w:tcPr>
            <w:tcW w:w="555" w:type="dxa"/>
            <w:tcBorders>
              <w:top w:val="nil"/>
              <w:left w:val="nil"/>
              <w:bottom w:val="nil"/>
              <w:right w:val="nil"/>
            </w:tcBorders>
            <w:shd w:val="clear" w:color="auto" w:fill="auto"/>
            <w:noWrap/>
            <w:vAlign w:val="bottom"/>
            <w:hideMark/>
          </w:tcPr>
          <w:p w14:paraId="0E37C9D5" w14:textId="77777777" w:rsidR="00662AD3" w:rsidRPr="00662AD3" w:rsidRDefault="00662AD3" w:rsidP="00662AD3">
            <w:pPr>
              <w:jc w:val="center"/>
              <w:rPr>
                <w:rFonts w:ascii="Calibri" w:hAnsi="Calibri" w:cs="Calibri"/>
                <w:color w:val="000000"/>
                <w:sz w:val="16"/>
                <w:szCs w:val="16"/>
              </w:rPr>
            </w:pPr>
          </w:p>
        </w:tc>
        <w:tc>
          <w:tcPr>
            <w:tcW w:w="980" w:type="dxa"/>
            <w:tcBorders>
              <w:top w:val="nil"/>
              <w:left w:val="nil"/>
              <w:bottom w:val="nil"/>
              <w:right w:val="single" w:sz="8" w:space="0" w:color="auto"/>
            </w:tcBorders>
            <w:shd w:val="clear" w:color="auto" w:fill="auto"/>
            <w:noWrap/>
            <w:vAlign w:val="bottom"/>
            <w:hideMark/>
          </w:tcPr>
          <w:p w14:paraId="0D46986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r>
      <w:tr w:rsidR="00662AD3" w:rsidRPr="00662AD3" w14:paraId="5E3509BE" w14:textId="77777777" w:rsidTr="00FA5C21">
        <w:trPr>
          <w:trHeight w:val="220"/>
        </w:trPr>
        <w:tc>
          <w:tcPr>
            <w:tcW w:w="2211" w:type="dxa"/>
            <w:tcBorders>
              <w:top w:val="nil"/>
              <w:left w:val="single" w:sz="8" w:space="0" w:color="auto"/>
              <w:bottom w:val="single" w:sz="4" w:space="0" w:color="auto"/>
              <w:right w:val="nil"/>
            </w:tcBorders>
            <w:shd w:val="clear" w:color="auto" w:fill="auto"/>
            <w:noWrap/>
            <w:vAlign w:val="bottom"/>
            <w:hideMark/>
          </w:tcPr>
          <w:p w14:paraId="0893998E" w14:textId="334ADD7E"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Gender</w:t>
            </w:r>
            <w:r w:rsidR="00C64AAA">
              <w:rPr>
                <w:rFonts w:ascii="Calibri" w:hAnsi="Calibri" w:cs="Calibri"/>
                <w:color w:val="000000"/>
                <w:sz w:val="16"/>
                <w:szCs w:val="16"/>
              </w:rPr>
              <w:t>-</w:t>
            </w:r>
            <w:r w:rsidRPr="00662AD3">
              <w:rPr>
                <w:rFonts w:ascii="Calibri" w:hAnsi="Calibri" w:cs="Calibri"/>
                <w:color w:val="000000"/>
                <w:sz w:val="16"/>
                <w:szCs w:val="16"/>
              </w:rPr>
              <w:t>No data</w:t>
            </w:r>
          </w:p>
        </w:tc>
        <w:tc>
          <w:tcPr>
            <w:tcW w:w="900" w:type="dxa"/>
            <w:tcBorders>
              <w:top w:val="nil"/>
              <w:left w:val="single" w:sz="8" w:space="0" w:color="auto"/>
              <w:bottom w:val="single" w:sz="4" w:space="0" w:color="auto"/>
              <w:right w:val="nil"/>
            </w:tcBorders>
            <w:shd w:val="clear" w:color="auto" w:fill="auto"/>
            <w:noWrap/>
            <w:vAlign w:val="bottom"/>
            <w:hideMark/>
          </w:tcPr>
          <w:p w14:paraId="217697DB"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84</w:t>
            </w:r>
          </w:p>
        </w:tc>
        <w:tc>
          <w:tcPr>
            <w:tcW w:w="1040" w:type="dxa"/>
            <w:tcBorders>
              <w:top w:val="nil"/>
              <w:left w:val="nil"/>
              <w:bottom w:val="single" w:sz="4" w:space="0" w:color="auto"/>
              <w:right w:val="nil"/>
            </w:tcBorders>
            <w:shd w:val="clear" w:color="auto" w:fill="auto"/>
            <w:noWrap/>
            <w:vAlign w:val="bottom"/>
            <w:hideMark/>
          </w:tcPr>
          <w:p w14:paraId="5DAC7A0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57</w:t>
            </w:r>
          </w:p>
        </w:tc>
        <w:tc>
          <w:tcPr>
            <w:tcW w:w="1160" w:type="dxa"/>
            <w:tcBorders>
              <w:top w:val="nil"/>
              <w:left w:val="nil"/>
              <w:bottom w:val="single" w:sz="4" w:space="0" w:color="auto"/>
              <w:right w:val="single" w:sz="8" w:space="0" w:color="auto"/>
            </w:tcBorders>
            <w:shd w:val="clear" w:color="auto" w:fill="auto"/>
            <w:noWrap/>
            <w:vAlign w:val="bottom"/>
            <w:hideMark/>
          </w:tcPr>
          <w:p w14:paraId="3CD27E11"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27</w:t>
            </w:r>
          </w:p>
        </w:tc>
        <w:tc>
          <w:tcPr>
            <w:tcW w:w="1625" w:type="dxa"/>
            <w:tcBorders>
              <w:top w:val="nil"/>
              <w:left w:val="nil"/>
              <w:bottom w:val="single" w:sz="4" w:space="0" w:color="auto"/>
              <w:right w:val="single" w:sz="8" w:space="0" w:color="auto"/>
            </w:tcBorders>
            <w:shd w:val="clear" w:color="auto" w:fill="auto"/>
            <w:noWrap/>
            <w:vAlign w:val="bottom"/>
            <w:hideMark/>
          </w:tcPr>
          <w:p w14:paraId="723B20FF"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 </w:t>
            </w:r>
          </w:p>
        </w:tc>
        <w:tc>
          <w:tcPr>
            <w:tcW w:w="555" w:type="dxa"/>
            <w:tcBorders>
              <w:top w:val="nil"/>
              <w:left w:val="nil"/>
              <w:bottom w:val="single" w:sz="4" w:space="0" w:color="auto"/>
              <w:right w:val="nil"/>
            </w:tcBorders>
            <w:shd w:val="clear" w:color="auto" w:fill="auto"/>
            <w:noWrap/>
            <w:vAlign w:val="bottom"/>
            <w:hideMark/>
          </w:tcPr>
          <w:p w14:paraId="616DDA22"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c>
          <w:tcPr>
            <w:tcW w:w="980" w:type="dxa"/>
            <w:tcBorders>
              <w:top w:val="nil"/>
              <w:left w:val="nil"/>
              <w:bottom w:val="single" w:sz="4" w:space="0" w:color="auto"/>
              <w:right w:val="single" w:sz="8" w:space="0" w:color="auto"/>
            </w:tcBorders>
            <w:shd w:val="clear" w:color="auto" w:fill="auto"/>
            <w:noWrap/>
            <w:vAlign w:val="bottom"/>
            <w:hideMark/>
          </w:tcPr>
          <w:p w14:paraId="4E564229"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r>
      <w:tr w:rsidR="00662AD3" w:rsidRPr="00662AD3" w14:paraId="3D994E02"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33C3989D" w14:textId="77777777" w:rsidR="00662AD3" w:rsidRPr="00662AD3" w:rsidRDefault="00662AD3" w:rsidP="00662AD3">
            <w:pPr>
              <w:rPr>
                <w:rFonts w:ascii="Calibri" w:hAnsi="Calibri" w:cs="Calibri"/>
                <w:b/>
                <w:bCs/>
                <w:color w:val="000000"/>
                <w:sz w:val="16"/>
                <w:szCs w:val="16"/>
              </w:rPr>
            </w:pPr>
            <w:r w:rsidRPr="00662AD3">
              <w:rPr>
                <w:rFonts w:ascii="Calibri" w:hAnsi="Calibri" w:cs="Calibri"/>
                <w:b/>
                <w:bCs/>
                <w:color w:val="000000"/>
                <w:sz w:val="16"/>
                <w:szCs w:val="16"/>
              </w:rPr>
              <w:t>Current Symptoms</w:t>
            </w:r>
          </w:p>
        </w:tc>
        <w:tc>
          <w:tcPr>
            <w:tcW w:w="900" w:type="dxa"/>
            <w:tcBorders>
              <w:top w:val="nil"/>
              <w:left w:val="single" w:sz="8" w:space="0" w:color="auto"/>
              <w:bottom w:val="nil"/>
              <w:right w:val="nil"/>
            </w:tcBorders>
            <w:shd w:val="clear" w:color="auto" w:fill="auto"/>
            <w:noWrap/>
            <w:vAlign w:val="bottom"/>
            <w:hideMark/>
          </w:tcPr>
          <w:p w14:paraId="71C289A9"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 </w:t>
            </w:r>
          </w:p>
        </w:tc>
        <w:tc>
          <w:tcPr>
            <w:tcW w:w="1040" w:type="dxa"/>
            <w:tcBorders>
              <w:top w:val="nil"/>
              <w:left w:val="nil"/>
              <w:bottom w:val="nil"/>
              <w:right w:val="nil"/>
            </w:tcBorders>
            <w:shd w:val="clear" w:color="auto" w:fill="auto"/>
            <w:noWrap/>
            <w:vAlign w:val="bottom"/>
            <w:hideMark/>
          </w:tcPr>
          <w:p w14:paraId="4F28154D" w14:textId="77777777" w:rsidR="00662AD3" w:rsidRPr="00662AD3" w:rsidRDefault="00662AD3" w:rsidP="00662AD3">
            <w:pPr>
              <w:rPr>
                <w:rFonts w:ascii="Calibri" w:hAnsi="Calibri" w:cs="Calibri"/>
                <w:color w:val="000000"/>
                <w:sz w:val="16"/>
                <w:szCs w:val="16"/>
              </w:rPr>
            </w:pPr>
          </w:p>
        </w:tc>
        <w:tc>
          <w:tcPr>
            <w:tcW w:w="1160" w:type="dxa"/>
            <w:tcBorders>
              <w:top w:val="nil"/>
              <w:left w:val="nil"/>
              <w:bottom w:val="nil"/>
              <w:right w:val="single" w:sz="8" w:space="0" w:color="auto"/>
            </w:tcBorders>
            <w:shd w:val="clear" w:color="auto" w:fill="auto"/>
            <w:noWrap/>
            <w:vAlign w:val="bottom"/>
            <w:hideMark/>
          </w:tcPr>
          <w:p w14:paraId="4FC5FD05"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 </w:t>
            </w:r>
          </w:p>
        </w:tc>
        <w:tc>
          <w:tcPr>
            <w:tcW w:w="1625" w:type="dxa"/>
            <w:tcBorders>
              <w:top w:val="nil"/>
              <w:left w:val="nil"/>
              <w:bottom w:val="nil"/>
              <w:right w:val="single" w:sz="8" w:space="0" w:color="auto"/>
            </w:tcBorders>
            <w:shd w:val="clear" w:color="auto" w:fill="auto"/>
            <w:noWrap/>
            <w:vAlign w:val="bottom"/>
            <w:hideMark/>
          </w:tcPr>
          <w:p w14:paraId="79887EAE"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 </w:t>
            </w:r>
          </w:p>
        </w:tc>
        <w:tc>
          <w:tcPr>
            <w:tcW w:w="555" w:type="dxa"/>
            <w:tcBorders>
              <w:top w:val="nil"/>
              <w:left w:val="nil"/>
              <w:bottom w:val="nil"/>
              <w:right w:val="nil"/>
            </w:tcBorders>
            <w:shd w:val="clear" w:color="auto" w:fill="auto"/>
            <w:noWrap/>
            <w:vAlign w:val="bottom"/>
            <w:hideMark/>
          </w:tcPr>
          <w:p w14:paraId="0470DF90" w14:textId="77777777" w:rsidR="00662AD3" w:rsidRPr="00662AD3" w:rsidRDefault="00662AD3" w:rsidP="00662AD3">
            <w:pPr>
              <w:jc w:val="center"/>
              <w:rPr>
                <w:rFonts w:ascii="Calibri" w:hAnsi="Calibri" w:cs="Calibri"/>
                <w:color w:val="000000"/>
                <w:sz w:val="16"/>
                <w:szCs w:val="16"/>
              </w:rPr>
            </w:pPr>
          </w:p>
        </w:tc>
        <w:tc>
          <w:tcPr>
            <w:tcW w:w="980" w:type="dxa"/>
            <w:tcBorders>
              <w:top w:val="nil"/>
              <w:left w:val="nil"/>
              <w:bottom w:val="nil"/>
              <w:right w:val="single" w:sz="8" w:space="0" w:color="auto"/>
            </w:tcBorders>
            <w:shd w:val="clear" w:color="auto" w:fill="auto"/>
            <w:noWrap/>
            <w:vAlign w:val="bottom"/>
            <w:hideMark/>
          </w:tcPr>
          <w:p w14:paraId="793D3EA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r>
      <w:tr w:rsidR="00662AD3" w:rsidRPr="00662AD3" w14:paraId="4AD0CE55"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3D526530"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Asymptomatic</w:t>
            </w:r>
          </w:p>
        </w:tc>
        <w:tc>
          <w:tcPr>
            <w:tcW w:w="900" w:type="dxa"/>
            <w:tcBorders>
              <w:top w:val="nil"/>
              <w:left w:val="single" w:sz="8" w:space="0" w:color="auto"/>
              <w:bottom w:val="nil"/>
              <w:right w:val="nil"/>
            </w:tcBorders>
            <w:shd w:val="clear" w:color="auto" w:fill="auto"/>
            <w:noWrap/>
            <w:vAlign w:val="bottom"/>
            <w:hideMark/>
          </w:tcPr>
          <w:p w14:paraId="1D00C0B3"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40</w:t>
            </w:r>
          </w:p>
        </w:tc>
        <w:tc>
          <w:tcPr>
            <w:tcW w:w="1040" w:type="dxa"/>
            <w:tcBorders>
              <w:top w:val="nil"/>
              <w:left w:val="nil"/>
              <w:bottom w:val="nil"/>
              <w:right w:val="nil"/>
            </w:tcBorders>
            <w:shd w:val="clear" w:color="auto" w:fill="auto"/>
            <w:noWrap/>
            <w:vAlign w:val="bottom"/>
            <w:hideMark/>
          </w:tcPr>
          <w:p w14:paraId="40ED59D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27</w:t>
            </w:r>
          </w:p>
        </w:tc>
        <w:tc>
          <w:tcPr>
            <w:tcW w:w="1160" w:type="dxa"/>
            <w:tcBorders>
              <w:top w:val="nil"/>
              <w:left w:val="nil"/>
              <w:bottom w:val="nil"/>
              <w:right w:val="single" w:sz="8" w:space="0" w:color="auto"/>
            </w:tcBorders>
            <w:shd w:val="clear" w:color="auto" w:fill="auto"/>
            <w:noWrap/>
            <w:vAlign w:val="bottom"/>
            <w:hideMark/>
          </w:tcPr>
          <w:p w14:paraId="6C9C332B"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13</w:t>
            </w:r>
          </w:p>
        </w:tc>
        <w:tc>
          <w:tcPr>
            <w:tcW w:w="1625" w:type="dxa"/>
            <w:tcBorders>
              <w:top w:val="nil"/>
              <w:left w:val="nil"/>
              <w:bottom w:val="nil"/>
              <w:right w:val="single" w:sz="8" w:space="0" w:color="auto"/>
            </w:tcBorders>
            <w:shd w:val="clear" w:color="auto" w:fill="auto"/>
            <w:noWrap/>
            <w:vAlign w:val="bottom"/>
            <w:hideMark/>
          </w:tcPr>
          <w:p w14:paraId="3F63DCF3"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0.66 (0.33-1.38)</w:t>
            </w:r>
          </w:p>
        </w:tc>
        <w:tc>
          <w:tcPr>
            <w:tcW w:w="555" w:type="dxa"/>
            <w:tcBorders>
              <w:top w:val="nil"/>
              <w:left w:val="nil"/>
              <w:bottom w:val="nil"/>
              <w:right w:val="nil"/>
            </w:tcBorders>
            <w:shd w:val="clear" w:color="auto" w:fill="auto"/>
            <w:noWrap/>
            <w:vAlign w:val="bottom"/>
            <w:hideMark/>
          </w:tcPr>
          <w:p w14:paraId="75203881"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0.25</w:t>
            </w:r>
          </w:p>
        </w:tc>
        <w:tc>
          <w:tcPr>
            <w:tcW w:w="980" w:type="dxa"/>
            <w:tcBorders>
              <w:top w:val="nil"/>
              <w:left w:val="nil"/>
              <w:bottom w:val="nil"/>
              <w:right w:val="single" w:sz="8" w:space="0" w:color="auto"/>
            </w:tcBorders>
            <w:shd w:val="clear" w:color="auto" w:fill="auto"/>
            <w:noWrap/>
            <w:vAlign w:val="bottom"/>
            <w:hideMark/>
          </w:tcPr>
          <w:p w14:paraId="7024B21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1A93EA5A"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478872B6"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Abdominal_pain</w:t>
            </w:r>
          </w:p>
        </w:tc>
        <w:tc>
          <w:tcPr>
            <w:tcW w:w="900" w:type="dxa"/>
            <w:tcBorders>
              <w:top w:val="nil"/>
              <w:left w:val="single" w:sz="8" w:space="0" w:color="auto"/>
              <w:bottom w:val="nil"/>
              <w:right w:val="nil"/>
            </w:tcBorders>
            <w:shd w:val="clear" w:color="auto" w:fill="auto"/>
            <w:noWrap/>
            <w:vAlign w:val="bottom"/>
            <w:hideMark/>
          </w:tcPr>
          <w:p w14:paraId="58A5962B"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19</w:t>
            </w:r>
          </w:p>
        </w:tc>
        <w:tc>
          <w:tcPr>
            <w:tcW w:w="1040" w:type="dxa"/>
            <w:tcBorders>
              <w:top w:val="nil"/>
              <w:left w:val="nil"/>
              <w:bottom w:val="nil"/>
              <w:right w:val="nil"/>
            </w:tcBorders>
            <w:shd w:val="clear" w:color="auto" w:fill="auto"/>
            <w:noWrap/>
            <w:vAlign w:val="bottom"/>
            <w:hideMark/>
          </w:tcPr>
          <w:p w14:paraId="637ED89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14</w:t>
            </w:r>
          </w:p>
        </w:tc>
        <w:tc>
          <w:tcPr>
            <w:tcW w:w="1160" w:type="dxa"/>
            <w:tcBorders>
              <w:top w:val="nil"/>
              <w:left w:val="nil"/>
              <w:bottom w:val="nil"/>
              <w:right w:val="single" w:sz="8" w:space="0" w:color="auto"/>
            </w:tcBorders>
            <w:shd w:val="clear" w:color="auto" w:fill="auto"/>
            <w:noWrap/>
            <w:vAlign w:val="bottom"/>
            <w:hideMark/>
          </w:tcPr>
          <w:p w14:paraId="14482B6B"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5</w:t>
            </w:r>
          </w:p>
        </w:tc>
        <w:tc>
          <w:tcPr>
            <w:tcW w:w="1625" w:type="dxa"/>
            <w:tcBorders>
              <w:top w:val="nil"/>
              <w:left w:val="nil"/>
              <w:bottom w:val="nil"/>
              <w:right w:val="single" w:sz="8" w:space="0" w:color="auto"/>
            </w:tcBorders>
            <w:shd w:val="clear" w:color="auto" w:fill="auto"/>
            <w:noWrap/>
            <w:vAlign w:val="bottom"/>
            <w:hideMark/>
          </w:tcPr>
          <w:p w14:paraId="2FB66670"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0.92 (0.34-2.92)</w:t>
            </w:r>
          </w:p>
        </w:tc>
        <w:tc>
          <w:tcPr>
            <w:tcW w:w="555" w:type="dxa"/>
            <w:tcBorders>
              <w:top w:val="nil"/>
              <w:left w:val="nil"/>
              <w:bottom w:val="nil"/>
              <w:right w:val="nil"/>
            </w:tcBorders>
            <w:shd w:val="clear" w:color="auto" w:fill="auto"/>
            <w:noWrap/>
            <w:vAlign w:val="bottom"/>
            <w:hideMark/>
          </w:tcPr>
          <w:p w14:paraId="0384A3DE"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0.88</w:t>
            </w:r>
          </w:p>
        </w:tc>
        <w:tc>
          <w:tcPr>
            <w:tcW w:w="980" w:type="dxa"/>
            <w:tcBorders>
              <w:top w:val="nil"/>
              <w:left w:val="nil"/>
              <w:bottom w:val="nil"/>
              <w:right w:val="single" w:sz="8" w:space="0" w:color="auto"/>
            </w:tcBorders>
            <w:shd w:val="clear" w:color="auto" w:fill="auto"/>
            <w:noWrap/>
            <w:vAlign w:val="bottom"/>
            <w:hideMark/>
          </w:tcPr>
          <w:p w14:paraId="128F3293"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3885CC69"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379233F8"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Anosmia</w:t>
            </w:r>
          </w:p>
        </w:tc>
        <w:tc>
          <w:tcPr>
            <w:tcW w:w="900" w:type="dxa"/>
            <w:tcBorders>
              <w:top w:val="nil"/>
              <w:left w:val="single" w:sz="8" w:space="0" w:color="auto"/>
              <w:bottom w:val="nil"/>
              <w:right w:val="nil"/>
            </w:tcBorders>
            <w:shd w:val="clear" w:color="auto" w:fill="auto"/>
            <w:noWrap/>
            <w:vAlign w:val="bottom"/>
            <w:hideMark/>
          </w:tcPr>
          <w:p w14:paraId="7EE0908D"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67</w:t>
            </w:r>
          </w:p>
        </w:tc>
        <w:tc>
          <w:tcPr>
            <w:tcW w:w="1040" w:type="dxa"/>
            <w:tcBorders>
              <w:top w:val="nil"/>
              <w:left w:val="nil"/>
              <w:bottom w:val="nil"/>
              <w:right w:val="nil"/>
            </w:tcBorders>
            <w:shd w:val="clear" w:color="auto" w:fill="auto"/>
            <w:noWrap/>
            <w:vAlign w:val="bottom"/>
            <w:hideMark/>
          </w:tcPr>
          <w:p w14:paraId="08165ACD"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43</w:t>
            </w:r>
          </w:p>
        </w:tc>
        <w:tc>
          <w:tcPr>
            <w:tcW w:w="1160" w:type="dxa"/>
            <w:tcBorders>
              <w:top w:val="nil"/>
              <w:left w:val="nil"/>
              <w:bottom w:val="nil"/>
              <w:right w:val="single" w:sz="8" w:space="0" w:color="auto"/>
            </w:tcBorders>
            <w:shd w:val="clear" w:color="auto" w:fill="auto"/>
            <w:noWrap/>
            <w:vAlign w:val="bottom"/>
            <w:hideMark/>
          </w:tcPr>
          <w:p w14:paraId="5CA61B6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24</w:t>
            </w:r>
          </w:p>
        </w:tc>
        <w:tc>
          <w:tcPr>
            <w:tcW w:w="1625" w:type="dxa"/>
            <w:tcBorders>
              <w:top w:val="nil"/>
              <w:left w:val="nil"/>
              <w:bottom w:val="nil"/>
              <w:right w:val="single" w:sz="8" w:space="0" w:color="auto"/>
            </w:tcBorders>
            <w:shd w:val="clear" w:color="auto" w:fill="auto"/>
            <w:noWrap/>
            <w:vAlign w:val="bottom"/>
            <w:hideMark/>
          </w:tcPr>
          <w:p w14:paraId="6B760958"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0.52 (0.29-0.92)</w:t>
            </w:r>
          </w:p>
        </w:tc>
        <w:tc>
          <w:tcPr>
            <w:tcW w:w="555" w:type="dxa"/>
            <w:tcBorders>
              <w:top w:val="nil"/>
              <w:left w:val="nil"/>
              <w:bottom w:val="nil"/>
              <w:right w:val="nil"/>
            </w:tcBorders>
            <w:shd w:val="clear" w:color="auto" w:fill="auto"/>
            <w:noWrap/>
            <w:vAlign w:val="bottom"/>
            <w:hideMark/>
          </w:tcPr>
          <w:p w14:paraId="2A516763"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0.023</w:t>
            </w:r>
          </w:p>
        </w:tc>
        <w:tc>
          <w:tcPr>
            <w:tcW w:w="980" w:type="dxa"/>
            <w:tcBorders>
              <w:top w:val="nil"/>
              <w:left w:val="nil"/>
              <w:bottom w:val="nil"/>
              <w:right w:val="single" w:sz="8" w:space="0" w:color="auto"/>
            </w:tcBorders>
            <w:shd w:val="clear" w:color="auto" w:fill="auto"/>
            <w:noWrap/>
            <w:vAlign w:val="bottom"/>
            <w:hideMark/>
          </w:tcPr>
          <w:p w14:paraId="0FF8028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0758F13C"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7FFFAA0A"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Cough</w:t>
            </w:r>
          </w:p>
        </w:tc>
        <w:tc>
          <w:tcPr>
            <w:tcW w:w="900" w:type="dxa"/>
            <w:tcBorders>
              <w:top w:val="nil"/>
              <w:left w:val="single" w:sz="8" w:space="0" w:color="auto"/>
              <w:bottom w:val="nil"/>
              <w:right w:val="nil"/>
            </w:tcBorders>
            <w:shd w:val="clear" w:color="auto" w:fill="auto"/>
            <w:noWrap/>
            <w:vAlign w:val="bottom"/>
            <w:hideMark/>
          </w:tcPr>
          <w:p w14:paraId="0E2B2FEE"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134</w:t>
            </w:r>
          </w:p>
        </w:tc>
        <w:tc>
          <w:tcPr>
            <w:tcW w:w="1040" w:type="dxa"/>
            <w:tcBorders>
              <w:top w:val="nil"/>
              <w:left w:val="nil"/>
              <w:bottom w:val="nil"/>
              <w:right w:val="nil"/>
            </w:tcBorders>
            <w:shd w:val="clear" w:color="auto" w:fill="auto"/>
            <w:noWrap/>
            <w:vAlign w:val="bottom"/>
            <w:hideMark/>
          </w:tcPr>
          <w:p w14:paraId="29DA7F53"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106</w:t>
            </w:r>
          </w:p>
        </w:tc>
        <w:tc>
          <w:tcPr>
            <w:tcW w:w="1160" w:type="dxa"/>
            <w:tcBorders>
              <w:top w:val="nil"/>
              <w:left w:val="nil"/>
              <w:bottom w:val="nil"/>
              <w:right w:val="single" w:sz="8" w:space="0" w:color="auto"/>
            </w:tcBorders>
            <w:shd w:val="clear" w:color="auto" w:fill="auto"/>
            <w:noWrap/>
            <w:vAlign w:val="bottom"/>
            <w:hideMark/>
          </w:tcPr>
          <w:p w14:paraId="3E536007"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28</w:t>
            </w:r>
          </w:p>
        </w:tc>
        <w:tc>
          <w:tcPr>
            <w:tcW w:w="1625" w:type="dxa"/>
            <w:tcBorders>
              <w:top w:val="nil"/>
              <w:left w:val="nil"/>
              <w:bottom w:val="nil"/>
              <w:right w:val="single" w:sz="8" w:space="0" w:color="auto"/>
            </w:tcBorders>
            <w:shd w:val="clear" w:color="auto" w:fill="auto"/>
            <w:noWrap/>
            <w:vAlign w:val="bottom"/>
            <w:hideMark/>
          </w:tcPr>
          <w:p w14:paraId="1F97D452"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1.41 (0.86-2.38)</w:t>
            </w:r>
          </w:p>
        </w:tc>
        <w:tc>
          <w:tcPr>
            <w:tcW w:w="555" w:type="dxa"/>
            <w:tcBorders>
              <w:top w:val="nil"/>
              <w:left w:val="nil"/>
              <w:bottom w:val="nil"/>
              <w:right w:val="nil"/>
            </w:tcBorders>
            <w:shd w:val="clear" w:color="auto" w:fill="auto"/>
            <w:noWrap/>
            <w:vAlign w:val="bottom"/>
            <w:hideMark/>
          </w:tcPr>
          <w:p w14:paraId="1EB91739"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0.18</w:t>
            </w:r>
          </w:p>
        </w:tc>
        <w:tc>
          <w:tcPr>
            <w:tcW w:w="980" w:type="dxa"/>
            <w:tcBorders>
              <w:top w:val="nil"/>
              <w:left w:val="nil"/>
              <w:bottom w:val="nil"/>
              <w:right w:val="single" w:sz="8" w:space="0" w:color="auto"/>
            </w:tcBorders>
            <w:shd w:val="clear" w:color="auto" w:fill="auto"/>
            <w:noWrap/>
            <w:vAlign w:val="bottom"/>
            <w:hideMark/>
          </w:tcPr>
          <w:p w14:paraId="3DBC997C"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4CDD3A87"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7A2B2D56"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Diarrhoea</w:t>
            </w:r>
          </w:p>
        </w:tc>
        <w:tc>
          <w:tcPr>
            <w:tcW w:w="900" w:type="dxa"/>
            <w:tcBorders>
              <w:top w:val="nil"/>
              <w:left w:val="single" w:sz="8" w:space="0" w:color="auto"/>
              <w:bottom w:val="nil"/>
              <w:right w:val="nil"/>
            </w:tcBorders>
            <w:shd w:val="clear" w:color="auto" w:fill="auto"/>
            <w:noWrap/>
            <w:vAlign w:val="bottom"/>
            <w:hideMark/>
          </w:tcPr>
          <w:p w14:paraId="6577325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15</w:t>
            </w:r>
          </w:p>
        </w:tc>
        <w:tc>
          <w:tcPr>
            <w:tcW w:w="1040" w:type="dxa"/>
            <w:tcBorders>
              <w:top w:val="nil"/>
              <w:left w:val="nil"/>
              <w:bottom w:val="nil"/>
              <w:right w:val="nil"/>
            </w:tcBorders>
            <w:shd w:val="clear" w:color="auto" w:fill="auto"/>
            <w:noWrap/>
            <w:vAlign w:val="bottom"/>
            <w:hideMark/>
          </w:tcPr>
          <w:p w14:paraId="28D2A48C"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12</w:t>
            </w:r>
          </w:p>
        </w:tc>
        <w:tc>
          <w:tcPr>
            <w:tcW w:w="1160" w:type="dxa"/>
            <w:tcBorders>
              <w:top w:val="nil"/>
              <w:left w:val="nil"/>
              <w:bottom w:val="nil"/>
              <w:right w:val="single" w:sz="8" w:space="0" w:color="auto"/>
            </w:tcBorders>
            <w:shd w:val="clear" w:color="auto" w:fill="auto"/>
            <w:noWrap/>
            <w:vAlign w:val="bottom"/>
            <w:hideMark/>
          </w:tcPr>
          <w:p w14:paraId="33FF552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3</w:t>
            </w:r>
          </w:p>
        </w:tc>
        <w:tc>
          <w:tcPr>
            <w:tcW w:w="1625" w:type="dxa"/>
            <w:tcBorders>
              <w:top w:val="nil"/>
              <w:left w:val="nil"/>
              <w:bottom w:val="nil"/>
              <w:right w:val="single" w:sz="8" w:space="0" w:color="auto"/>
            </w:tcBorders>
            <w:shd w:val="clear" w:color="auto" w:fill="auto"/>
            <w:noWrap/>
            <w:vAlign w:val="bottom"/>
            <w:hideMark/>
          </w:tcPr>
          <w:p w14:paraId="65722E74"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0.99 (0.34-3.62)</w:t>
            </w:r>
          </w:p>
        </w:tc>
        <w:tc>
          <w:tcPr>
            <w:tcW w:w="555" w:type="dxa"/>
            <w:tcBorders>
              <w:top w:val="nil"/>
              <w:left w:val="nil"/>
              <w:bottom w:val="nil"/>
              <w:right w:val="nil"/>
            </w:tcBorders>
            <w:shd w:val="clear" w:color="auto" w:fill="auto"/>
            <w:noWrap/>
            <w:vAlign w:val="bottom"/>
            <w:hideMark/>
          </w:tcPr>
          <w:p w14:paraId="686CF2F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0.99</w:t>
            </w:r>
          </w:p>
        </w:tc>
        <w:tc>
          <w:tcPr>
            <w:tcW w:w="980" w:type="dxa"/>
            <w:tcBorders>
              <w:top w:val="nil"/>
              <w:left w:val="nil"/>
              <w:bottom w:val="nil"/>
              <w:right w:val="single" w:sz="8" w:space="0" w:color="auto"/>
            </w:tcBorders>
            <w:shd w:val="clear" w:color="auto" w:fill="auto"/>
            <w:noWrap/>
            <w:vAlign w:val="bottom"/>
            <w:hideMark/>
          </w:tcPr>
          <w:p w14:paraId="36B15A2D"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393FF146"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5E1B2023"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Fever</w:t>
            </w:r>
          </w:p>
        </w:tc>
        <w:tc>
          <w:tcPr>
            <w:tcW w:w="900" w:type="dxa"/>
            <w:tcBorders>
              <w:top w:val="nil"/>
              <w:left w:val="single" w:sz="8" w:space="0" w:color="auto"/>
              <w:bottom w:val="nil"/>
              <w:right w:val="nil"/>
            </w:tcBorders>
            <w:shd w:val="clear" w:color="auto" w:fill="auto"/>
            <w:noWrap/>
            <w:vAlign w:val="bottom"/>
            <w:hideMark/>
          </w:tcPr>
          <w:p w14:paraId="51ACC969"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80</w:t>
            </w:r>
          </w:p>
        </w:tc>
        <w:tc>
          <w:tcPr>
            <w:tcW w:w="1040" w:type="dxa"/>
            <w:tcBorders>
              <w:top w:val="nil"/>
              <w:left w:val="nil"/>
              <w:bottom w:val="nil"/>
              <w:right w:val="nil"/>
            </w:tcBorders>
            <w:shd w:val="clear" w:color="auto" w:fill="auto"/>
            <w:noWrap/>
            <w:vAlign w:val="bottom"/>
            <w:hideMark/>
          </w:tcPr>
          <w:p w14:paraId="6CB7B42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67</w:t>
            </w:r>
          </w:p>
        </w:tc>
        <w:tc>
          <w:tcPr>
            <w:tcW w:w="1160" w:type="dxa"/>
            <w:tcBorders>
              <w:top w:val="nil"/>
              <w:left w:val="nil"/>
              <w:bottom w:val="nil"/>
              <w:right w:val="single" w:sz="8" w:space="0" w:color="auto"/>
            </w:tcBorders>
            <w:shd w:val="clear" w:color="auto" w:fill="auto"/>
            <w:noWrap/>
            <w:vAlign w:val="bottom"/>
            <w:hideMark/>
          </w:tcPr>
          <w:p w14:paraId="5E875BC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13</w:t>
            </w:r>
          </w:p>
        </w:tc>
        <w:tc>
          <w:tcPr>
            <w:tcW w:w="1625" w:type="dxa"/>
            <w:tcBorders>
              <w:top w:val="nil"/>
              <w:left w:val="nil"/>
              <w:bottom w:val="nil"/>
              <w:right w:val="single" w:sz="8" w:space="0" w:color="auto"/>
            </w:tcBorders>
            <w:shd w:val="clear" w:color="auto" w:fill="auto"/>
            <w:noWrap/>
            <w:vAlign w:val="bottom"/>
            <w:hideMark/>
          </w:tcPr>
          <w:p w14:paraId="09D84426"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1.94 (1.04-3.85)</w:t>
            </w:r>
          </w:p>
        </w:tc>
        <w:tc>
          <w:tcPr>
            <w:tcW w:w="555" w:type="dxa"/>
            <w:tcBorders>
              <w:top w:val="nil"/>
              <w:left w:val="nil"/>
              <w:bottom w:val="nil"/>
              <w:right w:val="nil"/>
            </w:tcBorders>
            <w:shd w:val="clear" w:color="auto" w:fill="auto"/>
            <w:noWrap/>
            <w:vAlign w:val="bottom"/>
            <w:hideMark/>
          </w:tcPr>
          <w:p w14:paraId="48BB266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0.046</w:t>
            </w:r>
          </w:p>
        </w:tc>
        <w:tc>
          <w:tcPr>
            <w:tcW w:w="980" w:type="dxa"/>
            <w:tcBorders>
              <w:top w:val="nil"/>
              <w:left w:val="nil"/>
              <w:bottom w:val="nil"/>
              <w:right w:val="single" w:sz="8" w:space="0" w:color="auto"/>
            </w:tcBorders>
            <w:shd w:val="clear" w:color="auto" w:fill="auto"/>
            <w:noWrap/>
            <w:vAlign w:val="bottom"/>
            <w:hideMark/>
          </w:tcPr>
          <w:p w14:paraId="4EBCBA32"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7F804354"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6517CD7D"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Headache</w:t>
            </w:r>
          </w:p>
        </w:tc>
        <w:tc>
          <w:tcPr>
            <w:tcW w:w="900" w:type="dxa"/>
            <w:tcBorders>
              <w:top w:val="nil"/>
              <w:left w:val="single" w:sz="8" w:space="0" w:color="auto"/>
              <w:bottom w:val="nil"/>
              <w:right w:val="nil"/>
            </w:tcBorders>
            <w:shd w:val="clear" w:color="auto" w:fill="auto"/>
            <w:noWrap/>
            <w:vAlign w:val="bottom"/>
            <w:hideMark/>
          </w:tcPr>
          <w:p w14:paraId="5D33240D"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138</w:t>
            </w:r>
          </w:p>
        </w:tc>
        <w:tc>
          <w:tcPr>
            <w:tcW w:w="1040" w:type="dxa"/>
            <w:tcBorders>
              <w:top w:val="nil"/>
              <w:left w:val="nil"/>
              <w:bottom w:val="nil"/>
              <w:right w:val="nil"/>
            </w:tcBorders>
            <w:shd w:val="clear" w:color="auto" w:fill="auto"/>
            <w:noWrap/>
            <w:vAlign w:val="bottom"/>
            <w:hideMark/>
          </w:tcPr>
          <w:p w14:paraId="0DFAF94B"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119</w:t>
            </w:r>
          </w:p>
        </w:tc>
        <w:tc>
          <w:tcPr>
            <w:tcW w:w="1160" w:type="dxa"/>
            <w:tcBorders>
              <w:top w:val="nil"/>
              <w:left w:val="nil"/>
              <w:bottom w:val="nil"/>
              <w:right w:val="single" w:sz="8" w:space="0" w:color="auto"/>
            </w:tcBorders>
            <w:shd w:val="clear" w:color="auto" w:fill="auto"/>
            <w:noWrap/>
            <w:vAlign w:val="bottom"/>
            <w:hideMark/>
          </w:tcPr>
          <w:p w14:paraId="703A5B4E"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19</w:t>
            </w:r>
          </w:p>
        </w:tc>
        <w:tc>
          <w:tcPr>
            <w:tcW w:w="1625" w:type="dxa"/>
            <w:tcBorders>
              <w:top w:val="nil"/>
              <w:left w:val="nil"/>
              <w:bottom w:val="nil"/>
              <w:right w:val="single" w:sz="8" w:space="0" w:color="auto"/>
            </w:tcBorders>
            <w:shd w:val="clear" w:color="auto" w:fill="auto"/>
            <w:noWrap/>
            <w:vAlign w:val="bottom"/>
            <w:hideMark/>
          </w:tcPr>
          <w:p w14:paraId="09CDADDC"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2.91 (1.69-5.21)</w:t>
            </w:r>
          </w:p>
        </w:tc>
        <w:tc>
          <w:tcPr>
            <w:tcW w:w="555" w:type="dxa"/>
            <w:tcBorders>
              <w:top w:val="nil"/>
              <w:left w:val="nil"/>
              <w:bottom w:val="nil"/>
              <w:right w:val="nil"/>
            </w:tcBorders>
            <w:shd w:val="clear" w:color="auto" w:fill="auto"/>
            <w:noWrap/>
            <w:vAlign w:val="bottom"/>
            <w:hideMark/>
          </w:tcPr>
          <w:p w14:paraId="32938167"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0.00019</w:t>
            </w:r>
          </w:p>
        </w:tc>
        <w:tc>
          <w:tcPr>
            <w:tcW w:w="980" w:type="dxa"/>
            <w:tcBorders>
              <w:top w:val="nil"/>
              <w:left w:val="nil"/>
              <w:bottom w:val="nil"/>
              <w:right w:val="single" w:sz="8" w:space="0" w:color="auto"/>
            </w:tcBorders>
            <w:shd w:val="clear" w:color="auto" w:fill="auto"/>
            <w:noWrap/>
            <w:vAlign w:val="bottom"/>
            <w:hideMark/>
          </w:tcPr>
          <w:p w14:paraId="5FD813E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0.0051</w:t>
            </w:r>
          </w:p>
        </w:tc>
      </w:tr>
      <w:tr w:rsidR="00662AD3" w:rsidRPr="00662AD3" w14:paraId="50C1C555"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76A3F97B"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Shortness_of_breath_SOB</w:t>
            </w:r>
          </w:p>
        </w:tc>
        <w:tc>
          <w:tcPr>
            <w:tcW w:w="900" w:type="dxa"/>
            <w:tcBorders>
              <w:top w:val="nil"/>
              <w:left w:val="single" w:sz="8" w:space="0" w:color="auto"/>
              <w:bottom w:val="nil"/>
              <w:right w:val="nil"/>
            </w:tcBorders>
            <w:shd w:val="clear" w:color="auto" w:fill="auto"/>
            <w:noWrap/>
            <w:vAlign w:val="bottom"/>
            <w:hideMark/>
          </w:tcPr>
          <w:p w14:paraId="0BA6C937"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57</w:t>
            </w:r>
          </w:p>
        </w:tc>
        <w:tc>
          <w:tcPr>
            <w:tcW w:w="1040" w:type="dxa"/>
            <w:tcBorders>
              <w:top w:val="nil"/>
              <w:left w:val="nil"/>
              <w:bottom w:val="nil"/>
              <w:right w:val="nil"/>
            </w:tcBorders>
            <w:shd w:val="clear" w:color="auto" w:fill="auto"/>
            <w:noWrap/>
            <w:vAlign w:val="bottom"/>
            <w:hideMark/>
          </w:tcPr>
          <w:p w14:paraId="1881FB41"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47</w:t>
            </w:r>
          </w:p>
        </w:tc>
        <w:tc>
          <w:tcPr>
            <w:tcW w:w="1160" w:type="dxa"/>
            <w:tcBorders>
              <w:top w:val="nil"/>
              <w:left w:val="nil"/>
              <w:bottom w:val="nil"/>
              <w:right w:val="single" w:sz="8" w:space="0" w:color="auto"/>
            </w:tcBorders>
            <w:shd w:val="clear" w:color="auto" w:fill="auto"/>
            <w:noWrap/>
            <w:vAlign w:val="bottom"/>
            <w:hideMark/>
          </w:tcPr>
          <w:p w14:paraId="4D90AFE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10</w:t>
            </w:r>
          </w:p>
        </w:tc>
        <w:tc>
          <w:tcPr>
            <w:tcW w:w="1625" w:type="dxa"/>
            <w:tcBorders>
              <w:top w:val="nil"/>
              <w:left w:val="nil"/>
              <w:bottom w:val="nil"/>
              <w:right w:val="single" w:sz="8" w:space="0" w:color="auto"/>
            </w:tcBorders>
            <w:shd w:val="clear" w:color="auto" w:fill="auto"/>
            <w:noWrap/>
            <w:vAlign w:val="bottom"/>
            <w:hideMark/>
          </w:tcPr>
          <w:p w14:paraId="42B8E8BD"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1.67 (0.84-3.65)</w:t>
            </w:r>
          </w:p>
        </w:tc>
        <w:tc>
          <w:tcPr>
            <w:tcW w:w="555" w:type="dxa"/>
            <w:tcBorders>
              <w:top w:val="nil"/>
              <w:left w:val="nil"/>
              <w:bottom w:val="nil"/>
              <w:right w:val="nil"/>
            </w:tcBorders>
            <w:shd w:val="clear" w:color="auto" w:fill="auto"/>
            <w:noWrap/>
            <w:vAlign w:val="bottom"/>
            <w:hideMark/>
          </w:tcPr>
          <w:p w14:paraId="4AC580DD"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0.17</w:t>
            </w:r>
          </w:p>
        </w:tc>
        <w:tc>
          <w:tcPr>
            <w:tcW w:w="980" w:type="dxa"/>
            <w:tcBorders>
              <w:top w:val="nil"/>
              <w:left w:val="nil"/>
              <w:bottom w:val="nil"/>
              <w:right w:val="single" w:sz="8" w:space="0" w:color="auto"/>
            </w:tcBorders>
            <w:shd w:val="clear" w:color="auto" w:fill="auto"/>
            <w:noWrap/>
            <w:vAlign w:val="bottom"/>
            <w:hideMark/>
          </w:tcPr>
          <w:p w14:paraId="15ED6ED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6BE691C1"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34BC338F"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Sore_throat</w:t>
            </w:r>
          </w:p>
        </w:tc>
        <w:tc>
          <w:tcPr>
            <w:tcW w:w="900" w:type="dxa"/>
            <w:tcBorders>
              <w:top w:val="nil"/>
              <w:left w:val="single" w:sz="8" w:space="0" w:color="auto"/>
              <w:bottom w:val="nil"/>
              <w:right w:val="nil"/>
            </w:tcBorders>
            <w:shd w:val="clear" w:color="auto" w:fill="auto"/>
            <w:noWrap/>
            <w:vAlign w:val="bottom"/>
            <w:hideMark/>
          </w:tcPr>
          <w:p w14:paraId="3312BB1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82</w:t>
            </w:r>
          </w:p>
        </w:tc>
        <w:tc>
          <w:tcPr>
            <w:tcW w:w="1040" w:type="dxa"/>
            <w:tcBorders>
              <w:top w:val="nil"/>
              <w:left w:val="nil"/>
              <w:bottom w:val="nil"/>
              <w:right w:val="nil"/>
            </w:tcBorders>
            <w:shd w:val="clear" w:color="auto" w:fill="auto"/>
            <w:noWrap/>
            <w:vAlign w:val="bottom"/>
            <w:hideMark/>
          </w:tcPr>
          <w:p w14:paraId="709FEF11"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64</w:t>
            </w:r>
          </w:p>
        </w:tc>
        <w:tc>
          <w:tcPr>
            <w:tcW w:w="1160" w:type="dxa"/>
            <w:tcBorders>
              <w:top w:val="nil"/>
              <w:left w:val="nil"/>
              <w:bottom w:val="nil"/>
              <w:right w:val="single" w:sz="8" w:space="0" w:color="auto"/>
            </w:tcBorders>
            <w:shd w:val="clear" w:color="auto" w:fill="auto"/>
            <w:noWrap/>
            <w:vAlign w:val="bottom"/>
            <w:hideMark/>
          </w:tcPr>
          <w:p w14:paraId="42A3423B"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18</w:t>
            </w:r>
          </w:p>
        </w:tc>
        <w:tc>
          <w:tcPr>
            <w:tcW w:w="1625" w:type="dxa"/>
            <w:tcBorders>
              <w:top w:val="nil"/>
              <w:left w:val="nil"/>
              <w:bottom w:val="nil"/>
              <w:right w:val="single" w:sz="8" w:space="0" w:color="auto"/>
            </w:tcBorders>
            <w:shd w:val="clear" w:color="auto" w:fill="auto"/>
            <w:noWrap/>
            <w:vAlign w:val="bottom"/>
            <w:hideMark/>
          </w:tcPr>
          <w:p w14:paraId="0C30B05F"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1.23 (0.70-2.26)</w:t>
            </w:r>
          </w:p>
        </w:tc>
        <w:tc>
          <w:tcPr>
            <w:tcW w:w="555" w:type="dxa"/>
            <w:tcBorders>
              <w:top w:val="nil"/>
              <w:left w:val="nil"/>
              <w:bottom w:val="nil"/>
              <w:right w:val="nil"/>
            </w:tcBorders>
            <w:shd w:val="clear" w:color="auto" w:fill="auto"/>
            <w:noWrap/>
            <w:vAlign w:val="bottom"/>
            <w:hideMark/>
          </w:tcPr>
          <w:p w14:paraId="42EAE54F"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0.49</w:t>
            </w:r>
          </w:p>
        </w:tc>
        <w:tc>
          <w:tcPr>
            <w:tcW w:w="980" w:type="dxa"/>
            <w:tcBorders>
              <w:top w:val="nil"/>
              <w:left w:val="nil"/>
              <w:bottom w:val="nil"/>
              <w:right w:val="single" w:sz="8" w:space="0" w:color="auto"/>
            </w:tcBorders>
            <w:shd w:val="clear" w:color="auto" w:fill="auto"/>
            <w:noWrap/>
            <w:vAlign w:val="bottom"/>
            <w:hideMark/>
          </w:tcPr>
          <w:p w14:paraId="486BD56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7520C058"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077281F1"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Vomiting</w:t>
            </w:r>
          </w:p>
        </w:tc>
        <w:tc>
          <w:tcPr>
            <w:tcW w:w="900" w:type="dxa"/>
            <w:tcBorders>
              <w:top w:val="nil"/>
              <w:left w:val="single" w:sz="8" w:space="0" w:color="auto"/>
              <w:bottom w:val="nil"/>
              <w:right w:val="nil"/>
            </w:tcBorders>
            <w:shd w:val="clear" w:color="auto" w:fill="auto"/>
            <w:noWrap/>
            <w:vAlign w:val="bottom"/>
            <w:hideMark/>
          </w:tcPr>
          <w:p w14:paraId="4EEFB28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16</w:t>
            </w:r>
          </w:p>
        </w:tc>
        <w:tc>
          <w:tcPr>
            <w:tcW w:w="1040" w:type="dxa"/>
            <w:tcBorders>
              <w:top w:val="nil"/>
              <w:left w:val="nil"/>
              <w:bottom w:val="nil"/>
              <w:right w:val="nil"/>
            </w:tcBorders>
            <w:shd w:val="clear" w:color="auto" w:fill="auto"/>
            <w:noWrap/>
            <w:vAlign w:val="bottom"/>
            <w:hideMark/>
          </w:tcPr>
          <w:p w14:paraId="5CA08C7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12</w:t>
            </w:r>
          </w:p>
        </w:tc>
        <w:tc>
          <w:tcPr>
            <w:tcW w:w="1160" w:type="dxa"/>
            <w:tcBorders>
              <w:top w:val="nil"/>
              <w:left w:val="nil"/>
              <w:bottom w:val="nil"/>
              <w:right w:val="single" w:sz="8" w:space="0" w:color="auto"/>
            </w:tcBorders>
            <w:shd w:val="clear" w:color="auto" w:fill="auto"/>
            <w:noWrap/>
            <w:vAlign w:val="bottom"/>
            <w:hideMark/>
          </w:tcPr>
          <w:p w14:paraId="16392CD0"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4</w:t>
            </w:r>
          </w:p>
        </w:tc>
        <w:tc>
          <w:tcPr>
            <w:tcW w:w="1625" w:type="dxa"/>
            <w:tcBorders>
              <w:top w:val="nil"/>
              <w:left w:val="nil"/>
              <w:bottom w:val="nil"/>
              <w:right w:val="single" w:sz="8" w:space="0" w:color="auto"/>
            </w:tcBorders>
            <w:shd w:val="clear" w:color="auto" w:fill="auto"/>
            <w:noWrap/>
            <w:vAlign w:val="bottom"/>
            <w:hideMark/>
          </w:tcPr>
          <w:p w14:paraId="2A78E5E8"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0.99 (0.34-3.62)</w:t>
            </w:r>
          </w:p>
        </w:tc>
        <w:tc>
          <w:tcPr>
            <w:tcW w:w="555" w:type="dxa"/>
            <w:tcBorders>
              <w:top w:val="nil"/>
              <w:left w:val="nil"/>
              <w:bottom w:val="nil"/>
              <w:right w:val="nil"/>
            </w:tcBorders>
            <w:shd w:val="clear" w:color="auto" w:fill="auto"/>
            <w:noWrap/>
            <w:vAlign w:val="bottom"/>
            <w:hideMark/>
          </w:tcPr>
          <w:p w14:paraId="7B18AD8D"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0.99</w:t>
            </w:r>
          </w:p>
        </w:tc>
        <w:tc>
          <w:tcPr>
            <w:tcW w:w="980" w:type="dxa"/>
            <w:tcBorders>
              <w:top w:val="nil"/>
              <w:left w:val="nil"/>
              <w:bottom w:val="nil"/>
              <w:right w:val="single" w:sz="8" w:space="0" w:color="auto"/>
            </w:tcBorders>
            <w:shd w:val="clear" w:color="auto" w:fill="auto"/>
            <w:noWrap/>
            <w:vAlign w:val="bottom"/>
            <w:hideMark/>
          </w:tcPr>
          <w:p w14:paraId="7CC6E3DE"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6A2171AC"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047FE430"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Other</w:t>
            </w:r>
          </w:p>
        </w:tc>
        <w:tc>
          <w:tcPr>
            <w:tcW w:w="900" w:type="dxa"/>
            <w:tcBorders>
              <w:top w:val="nil"/>
              <w:left w:val="single" w:sz="8" w:space="0" w:color="auto"/>
              <w:bottom w:val="nil"/>
              <w:right w:val="nil"/>
            </w:tcBorders>
            <w:shd w:val="clear" w:color="auto" w:fill="auto"/>
            <w:noWrap/>
            <w:vAlign w:val="bottom"/>
            <w:hideMark/>
          </w:tcPr>
          <w:p w14:paraId="3961AE6D"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260</w:t>
            </w:r>
          </w:p>
        </w:tc>
        <w:tc>
          <w:tcPr>
            <w:tcW w:w="1040" w:type="dxa"/>
            <w:tcBorders>
              <w:top w:val="nil"/>
              <w:left w:val="nil"/>
              <w:bottom w:val="nil"/>
              <w:right w:val="nil"/>
            </w:tcBorders>
            <w:shd w:val="clear" w:color="auto" w:fill="auto"/>
            <w:noWrap/>
            <w:vAlign w:val="bottom"/>
            <w:hideMark/>
          </w:tcPr>
          <w:p w14:paraId="736D4CC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203</w:t>
            </w:r>
          </w:p>
        </w:tc>
        <w:tc>
          <w:tcPr>
            <w:tcW w:w="1160" w:type="dxa"/>
            <w:tcBorders>
              <w:top w:val="nil"/>
              <w:left w:val="nil"/>
              <w:bottom w:val="nil"/>
              <w:right w:val="single" w:sz="8" w:space="0" w:color="auto"/>
            </w:tcBorders>
            <w:shd w:val="clear" w:color="auto" w:fill="auto"/>
            <w:noWrap/>
            <w:vAlign w:val="bottom"/>
            <w:hideMark/>
          </w:tcPr>
          <w:p w14:paraId="432795E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57</w:t>
            </w:r>
          </w:p>
        </w:tc>
        <w:tc>
          <w:tcPr>
            <w:tcW w:w="1625" w:type="dxa"/>
            <w:tcBorders>
              <w:top w:val="nil"/>
              <w:left w:val="nil"/>
              <w:bottom w:val="nil"/>
              <w:right w:val="single" w:sz="8" w:space="0" w:color="auto"/>
            </w:tcBorders>
            <w:shd w:val="clear" w:color="auto" w:fill="auto"/>
            <w:noWrap/>
            <w:vAlign w:val="bottom"/>
            <w:hideMark/>
          </w:tcPr>
          <w:p w14:paraId="60AECBDB"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1.70 (1.02-2.82)</w:t>
            </w:r>
          </w:p>
        </w:tc>
        <w:tc>
          <w:tcPr>
            <w:tcW w:w="555" w:type="dxa"/>
            <w:tcBorders>
              <w:top w:val="nil"/>
              <w:left w:val="nil"/>
              <w:bottom w:val="nil"/>
              <w:right w:val="nil"/>
            </w:tcBorders>
            <w:shd w:val="clear" w:color="auto" w:fill="auto"/>
            <w:noWrap/>
            <w:vAlign w:val="bottom"/>
            <w:hideMark/>
          </w:tcPr>
          <w:p w14:paraId="2CCF83F3"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0.04</w:t>
            </w:r>
          </w:p>
        </w:tc>
        <w:tc>
          <w:tcPr>
            <w:tcW w:w="980" w:type="dxa"/>
            <w:tcBorders>
              <w:top w:val="nil"/>
              <w:left w:val="nil"/>
              <w:bottom w:val="nil"/>
              <w:right w:val="single" w:sz="8" w:space="0" w:color="auto"/>
            </w:tcBorders>
            <w:shd w:val="clear" w:color="auto" w:fill="auto"/>
            <w:noWrap/>
            <w:vAlign w:val="bottom"/>
            <w:hideMark/>
          </w:tcPr>
          <w:p w14:paraId="3005D0A1"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6DAA4FC4" w14:textId="77777777" w:rsidTr="00FA5C21">
        <w:trPr>
          <w:trHeight w:val="220"/>
        </w:trPr>
        <w:tc>
          <w:tcPr>
            <w:tcW w:w="2211" w:type="dxa"/>
            <w:tcBorders>
              <w:top w:val="nil"/>
              <w:left w:val="single" w:sz="8" w:space="0" w:color="auto"/>
              <w:bottom w:val="single" w:sz="4" w:space="0" w:color="auto"/>
              <w:right w:val="nil"/>
            </w:tcBorders>
            <w:shd w:val="clear" w:color="auto" w:fill="auto"/>
            <w:noWrap/>
            <w:vAlign w:val="bottom"/>
            <w:hideMark/>
          </w:tcPr>
          <w:p w14:paraId="2012D4BD"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No data</w:t>
            </w:r>
          </w:p>
        </w:tc>
        <w:tc>
          <w:tcPr>
            <w:tcW w:w="900" w:type="dxa"/>
            <w:tcBorders>
              <w:top w:val="nil"/>
              <w:left w:val="single" w:sz="8" w:space="0" w:color="auto"/>
              <w:bottom w:val="single" w:sz="4" w:space="0" w:color="auto"/>
              <w:right w:val="nil"/>
            </w:tcBorders>
            <w:shd w:val="clear" w:color="auto" w:fill="auto"/>
            <w:noWrap/>
            <w:vAlign w:val="bottom"/>
            <w:hideMark/>
          </w:tcPr>
          <w:p w14:paraId="0D7816CD"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59</w:t>
            </w:r>
          </w:p>
        </w:tc>
        <w:tc>
          <w:tcPr>
            <w:tcW w:w="1040" w:type="dxa"/>
            <w:tcBorders>
              <w:top w:val="nil"/>
              <w:left w:val="nil"/>
              <w:bottom w:val="single" w:sz="4" w:space="0" w:color="auto"/>
              <w:right w:val="nil"/>
            </w:tcBorders>
            <w:shd w:val="clear" w:color="auto" w:fill="auto"/>
            <w:noWrap/>
            <w:vAlign w:val="bottom"/>
            <w:hideMark/>
          </w:tcPr>
          <w:p w14:paraId="530F7C8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40</w:t>
            </w:r>
          </w:p>
        </w:tc>
        <w:tc>
          <w:tcPr>
            <w:tcW w:w="1160" w:type="dxa"/>
            <w:tcBorders>
              <w:top w:val="nil"/>
              <w:left w:val="nil"/>
              <w:bottom w:val="single" w:sz="4" w:space="0" w:color="auto"/>
              <w:right w:val="single" w:sz="8" w:space="0" w:color="auto"/>
            </w:tcBorders>
            <w:shd w:val="clear" w:color="auto" w:fill="auto"/>
            <w:noWrap/>
            <w:vAlign w:val="bottom"/>
            <w:hideMark/>
          </w:tcPr>
          <w:p w14:paraId="142940E1"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19</w:t>
            </w:r>
          </w:p>
        </w:tc>
        <w:tc>
          <w:tcPr>
            <w:tcW w:w="1625" w:type="dxa"/>
            <w:tcBorders>
              <w:top w:val="nil"/>
              <w:left w:val="nil"/>
              <w:bottom w:val="single" w:sz="4" w:space="0" w:color="auto"/>
              <w:right w:val="single" w:sz="8" w:space="0" w:color="auto"/>
            </w:tcBorders>
            <w:shd w:val="clear" w:color="auto" w:fill="auto"/>
            <w:noWrap/>
            <w:vAlign w:val="bottom"/>
            <w:hideMark/>
          </w:tcPr>
          <w:p w14:paraId="0DAAB88E"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 </w:t>
            </w:r>
          </w:p>
        </w:tc>
        <w:tc>
          <w:tcPr>
            <w:tcW w:w="555" w:type="dxa"/>
            <w:tcBorders>
              <w:top w:val="nil"/>
              <w:left w:val="nil"/>
              <w:bottom w:val="single" w:sz="4" w:space="0" w:color="auto"/>
              <w:right w:val="nil"/>
            </w:tcBorders>
            <w:shd w:val="clear" w:color="auto" w:fill="auto"/>
            <w:noWrap/>
            <w:vAlign w:val="bottom"/>
            <w:hideMark/>
          </w:tcPr>
          <w:p w14:paraId="6976D7A1"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c>
          <w:tcPr>
            <w:tcW w:w="980" w:type="dxa"/>
            <w:tcBorders>
              <w:top w:val="nil"/>
              <w:left w:val="nil"/>
              <w:bottom w:val="single" w:sz="4" w:space="0" w:color="auto"/>
              <w:right w:val="single" w:sz="8" w:space="0" w:color="auto"/>
            </w:tcBorders>
            <w:shd w:val="clear" w:color="auto" w:fill="auto"/>
            <w:noWrap/>
            <w:vAlign w:val="bottom"/>
            <w:hideMark/>
          </w:tcPr>
          <w:p w14:paraId="0F3B3699"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r>
      <w:tr w:rsidR="00662AD3" w:rsidRPr="00662AD3" w14:paraId="7C8901ED"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39C2F748" w14:textId="77777777" w:rsidR="00662AD3" w:rsidRPr="00662AD3" w:rsidRDefault="00662AD3" w:rsidP="00662AD3">
            <w:pPr>
              <w:rPr>
                <w:rFonts w:ascii="Calibri" w:hAnsi="Calibri" w:cs="Calibri"/>
                <w:b/>
                <w:bCs/>
                <w:color w:val="000000"/>
                <w:sz w:val="16"/>
                <w:szCs w:val="16"/>
              </w:rPr>
            </w:pPr>
            <w:r w:rsidRPr="00662AD3">
              <w:rPr>
                <w:rFonts w:ascii="Calibri" w:hAnsi="Calibri" w:cs="Calibri"/>
                <w:b/>
                <w:bCs/>
                <w:color w:val="000000"/>
                <w:sz w:val="16"/>
                <w:szCs w:val="16"/>
              </w:rPr>
              <w:t>Past Medical History</w:t>
            </w:r>
          </w:p>
        </w:tc>
        <w:tc>
          <w:tcPr>
            <w:tcW w:w="900" w:type="dxa"/>
            <w:tcBorders>
              <w:top w:val="nil"/>
              <w:left w:val="single" w:sz="8" w:space="0" w:color="auto"/>
              <w:bottom w:val="nil"/>
              <w:right w:val="nil"/>
            </w:tcBorders>
            <w:shd w:val="clear" w:color="auto" w:fill="auto"/>
            <w:noWrap/>
            <w:vAlign w:val="bottom"/>
            <w:hideMark/>
          </w:tcPr>
          <w:p w14:paraId="07956059"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 </w:t>
            </w:r>
          </w:p>
        </w:tc>
        <w:tc>
          <w:tcPr>
            <w:tcW w:w="1040" w:type="dxa"/>
            <w:tcBorders>
              <w:top w:val="nil"/>
              <w:left w:val="nil"/>
              <w:bottom w:val="nil"/>
              <w:right w:val="nil"/>
            </w:tcBorders>
            <w:shd w:val="clear" w:color="auto" w:fill="auto"/>
            <w:noWrap/>
            <w:vAlign w:val="bottom"/>
            <w:hideMark/>
          </w:tcPr>
          <w:p w14:paraId="089DEBFC" w14:textId="77777777" w:rsidR="00662AD3" w:rsidRPr="00662AD3" w:rsidRDefault="00662AD3" w:rsidP="00662AD3">
            <w:pPr>
              <w:rPr>
                <w:rFonts w:ascii="Calibri" w:hAnsi="Calibri" w:cs="Calibri"/>
                <w:color w:val="000000"/>
                <w:sz w:val="16"/>
                <w:szCs w:val="16"/>
              </w:rPr>
            </w:pPr>
          </w:p>
        </w:tc>
        <w:tc>
          <w:tcPr>
            <w:tcW w:w="1160" w:type="dxa"/>
            <w:tcBorders>
              <w:top w:val="nil"/>
              <w:left w:val="nil"/>
              <w:bottom w:val="nil"/>
              <w:right w:val="single" w:sz="8" w:space="0" w:color="auto"/>
            </w:tcBorders>
            <w:shd w:val="clear" w:color="auto" w:fill="auto"/>
            <w:noWrap/>
            <w:vAlign w:val="bottom"/>
            <w:hideMark/>
          </w:tcPr>
          <w:p w14:paraId="2D72D81F"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 </w:t>
            </w:r>
          </w:p>
        </w:tc>
        <w:tc>
          <w:tcPr>
            <w:tcW w:w="1625" w:type="dxa"/>
            <w:tcBorders>
              <w:top w:val="nil"/>
              <w:left w:val="nil"/>
              <w:bottom w:val="nil"/>
              <w:right w:val="single" w:sz="8" w:space="0" w:color="auto"/>
            </w:tcBorders>
            <w:shd w:val="clear" w:color="auto" w:fill="auto"/>
            <w:noWrap/>
            <w:vAlign w:val="bottom"/>
            <w:hideMark/>
          </w:tcPr>
          <w:p w14:paraId="29D9F23B"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 </w:t>
            </w:r>
          </w:p>
        </w:tc>
        <w:tc>
          <w:tcPr>
            <w:tcW w:w="555" w:type="dxa"/>
            <w:tcBorders>
              <w:top w:val="nil"/>
              <w:left w:val="nil"/>
              <w:bottom w:val="nil"/>
              <w:right w:val="nil"/>
            </w:tcBorders>
            <w:shd w:val="clear" w:color="auto" w:fill="auto"/>
            <w:noWrap/>
            <w:vAlign w:val="bottom"/>
            <w:hideMark/>
          </w:tcPr>
          <w:p w14:paraId="292E9A86" w14:textId="77777777" w:rsidR="00662AD3" w:rsidRPr="00662AD3" w:rsidRDefault="00662AD3" w:rsidP="00662AD3">
            <w:pPr>
              <w:jc w:val="center"/>
              <w:rPr>
                <w:rFonts w:ascii="Calibri" w:hAnsi="Calibri" w:cs="Calibri"/>
                <w:color w:val="000000"/>
                <w:sz w:val="16"/>
                <w:szCs w:val="16"/>
              </w:rPr>
            </w:pPr>
          </w:p>
        </w:tc>
        <w:tc>
          <w:tcPr>
            <w:tcW w:w="980" w:type="dxa"/>
            <w:tcBorders>
              <w:top w:val="nil"/>
              <w:left w:val="nil"/>
              <w:bottom w:val="nil"/>
              <w:right w:val="single" w:sz="8" w:space="0" w:color="auto"/>
            </w:tcBorders>
            <w:shd w:val="clear" w:color="auto" w:fill="auto"/>
            <w:noWrap/>
            <w:vAlign w:val="bottom"/>
            <w:hideMark/>
          </w:tcPr>
          <w:p w14:paraId="7BEADF6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r>
      <w:tr w:rsidR="00662AD3" w:rsidRPr="00662AD3" w14:paraId="77D75FB6"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2F1BD204"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Asthma</w:t>
            </w:r>
          </w:p>
        </w:tc>
        <w:tc>
          <w:tcPr>
            <w:tcW w:w="900" w:type="dxa"/>
            <w:tcBorders>
              <w:top w:val="nil"/>
              <w:left w:val="single" w:sz="8" w:space="0" w:color="auto"/>
              <w:bottom w:val="nil"/>
              <w:right w:val="nil"/>
            </w:tcBorders>
            <w:shd w:val="clear" w:color="auto" w:fill="auto"/>
            <w:noWrap/>
            <w:vAlign w:val="bottom"/>
            <w:hideMark/>
          </w:tcPr>
          <w:p w14:paraId="5954B31A"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40</w:t>
            </w:r>
          </w:p>
        </w:tc>
        <w:tc>
          <w:tcPr>
            <w:tcW w:w="1040" w:type="dxa"/>
            <w:tcBorders>
              <w:top w:val="nil"/>
              <w:left w:val="nil"/>
              <w:bottom w:val="nil"/>
              <w:right w:val="nil"/>
            </w:tcBorders>
            <w:shd w:val="clear" w:color="auto" w:fill="auto"/>
            <w:noWrap/>
            <w:vAlign w:val="bottom"/>
            <w:hideMark/>
          </w:tcPr>
          <w:p w14:paraId="2167C982"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31</w:t>
            </w:r>
          </w:p>
        </w:tc>
        <w:tc>
          <w:tcPr>
            <w:tcW w:w="1160" w:type="dxa"/>
            <w:tcBorders>
              <w:top w:val="nil"/>
              <w:left w:val="nil"/>
              <w:bottom w:val="nil"/>
              <w:right w:val="single" w:sz="8" w:space="0" w:color="auto"/>
            </w:tcBorders>
            <w:shd w:val="clear" w:color="auto" w:fill="auto"/>
            <w:noWrap/>
            <w:vAlign w:val="bottom"/>
            <w:hideMark/>
          </w:tcPr>
          <w:p w14:paraId="25AA4AA2"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9</w:t>
            </w:r>
          </w:p>
        </w:tc>
        <w:tc>
          <w:tcPr>
            <w:tcW w:w="1625" w:type="dxa"/>
            <w:tcBorders>
              <w:top w:val="nil"/>
              <w:left w:val="nil"/>
              <w:bottom w:val="nil"/>
              <w:right w:val="single" w:sz="8" w:space="0" w:color="auto"/>
            </w:tcBorders>
            <w:shd w:val="clear" w:color="auto" w:fill="auto"/>
            <w:noWrap/>
            <w:vAlign w:val="bottom"/>
            <w:hideMark/>
          </w:tcPr>
          <w:p w14:paraId="10FDEA7E"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1.17 (0.55-2.70)</w:t>
            </w:r>
          </w:p>
        </w:tc>
        <w:tc>
          <w:tcPr>
            <w:tcW w:w="555" w:type="dxa"/>
            <w:tcBorders>
              <w:top w:val="nil"/>
              <w:left w:val="nil"/>
              <w:bottom w:val="nil"/>
              <w:right w:val="nil"/>
            </w:tcBorders>
            <w:shd w:val="clear" w:color="auto" w:fill="auto"/>
            <w:noWrap/>
            <w:vAlign w:val="bottom"/>
            <w:hideMark/>
          </w:tcPr>
          <w:p w14:paraId="78199BBE"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0.71</w:t>
            </w:r>
          </w:p>
        </w:tc>
        <w:tc>
          <w:tcPr>
            <w:tcW w:w="980" w:type="dxa"/>
            <w:tcBorders>
              <w:top w:val="nil"/>
              <w:left w:val="nil"/>
              <w:bottom w:val="nil"/>
              <w:right w:val="single" w:sz="8" w:space="0" w:color="auto"/>
            </w:tcBorders>
            <w:shd w:val="clear" w:color="auto" w:fill="auto"/>
            <w:noWrap/>
            <w:vAlign w:val="bottom"/>
            <w:hideMark/>
          </w:tcPr>
          <w:p w14:paraId="0978BC2A"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5BE1EB19"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1C7FBBC3"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Diabetes</w:t>
            </w:r>
          </w:p>
        </w:tc>
        <w:tc>
          <w:tcPr>
            <w:tcW w:w="900" w:type="dxa"/>
            <w:tcBorders>
              <w:top w:val="nil"/>
              <w:left w:val="single" w:sz="8" w:space="0" w:color="auto"/>
              <w:bottom w:val="nil"/>
              <w:right w:val="nil"/>
            </w:tcBorders>
            <w:shd w:val="clear" w:color="auto" w:fill="auto"/>
            <w:noWrap/>
            <w:vAlign w:val="bottom"/>
            <w:hideMark/>
          </w:tcPr>
          <w:p w14:paraId="6B52D80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8</w:t>
            </w:r>
          </w:p>
        </w:tc>
        <w:tc>
          <w:tcPr>
            <w:tcW w:w="1040" w:type="dxa"/>
            <w:tcBorders>
              <w:top w:val="nil"/>
              <w:left w:val="nil"/>
              <w:bottom w:val="nil"/>
              <w:right w:val="nil"/>
            </w:tcBorders>
            <w:shd w:val="clear" w:color="auto" w:fill="auto"/>
            <w:noWrap/>
            <w:vAlign w:val="bottom"/>
            <w:hideMark/>
          </w:tcPr>
          <w:p w14:paraId="643609C9"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6</w:t>
            </w:r>
          </w:p>
        </w:tc>
        <w:tc>
          <w:tcPr>
            <w:tcW w:w="1160" w:type="dxa"/>
            <w:tcBorders>
              <w:top w:val="nil"/>
              <w:left w:val="nil"/>
              <w:bottom w:val="nil"/>
              <w:right w:val="single" w:sz="8" w:space="0" w:color="auto"/>
            </w:tcBorders>
            <w:shd w:val="clear" w:color="auto" w:fill="auto"/>
            <w:noWrap/>
            <w:vAlign w:val="bottom"/>
            <w:hideMark/>
          </w:tcPr>
          <w:p w14:paraId="08225970"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w:t>
            </w:r>
          </w:p>
        </w:tc>
        <w:tc>
          <w:tcPr>
            <w:tcW w:w="1625" w:type="dxa"/>
            <w:tcBorders>
              <w:top w:val="nil"/>
              <w:left w:val="nil"/>
              <w:bottom w:val="nil"/>
              <w:right w:val="single" w:sz="8" w:space="0" w:color="auto"/>
            </w:tcBorders>
            <w:shd w:val="clear" w:color="auto" w:fill="auto"/>
            <w:noWrap/>
            <w:vAlign w:val="bottom"/>
            <w:hideMark/>
          </w:tcPr>
          <w:p w14:paraId="28CDC301"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1.00 (0.23-6.91)</w:t>
            </w:r>
          </w:p>
        </w:tc>
        <w:tc>
          <w:tcPr>
            <w:tcW w:w="555" w:type="dxa"/>
            <w:tcBorders>
              <w:top w:val="nil"/>
              <w:left w:val="nil"/>
              <w:bottom w:val="nil"/>
              <w:right w:val="nil"/>
            </w:tcBorders>
            <w:shd w:val="clear" w:color="auto" w:fill="auto"/>
            <w:noWrap/>
            <w:vAlign w:val="bottom"/>
            <w:hideMark/>
          </w:tcPr>
          <w:p w14:paraId="78BEC25E"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w:t>
            </w:r>
          </w:p>
        </w:tc>
        <w:tc>
          <w:tcPr>
            <w:tcW w:w="980" w:type="dxa"/>
            <w:tcBorders>
              <w:top w:val="nil"/>
              <w:left w:val="nil"/>
              <w:bottom w:val="nil"/>
              <w:right w:val="single" w:sz="8" w:space="0" w:color="auto"/>
            </w:tcBorders>
            <w:shd w:val="clear" w:color="auto" w:fill="auto"/>
            <w:noWrap/>
            <w:vAlign w:val="bottom"/>
            <w:hideMark/>
          </w:tcPr>
          <w:p w14:paraId="49339B8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6A4D4374"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0504F740"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Heart_disease</w:t>
            </w:r>
          </w:p>
        </w:tc>
        <w:tc>
          <w:tcPr>
            <w:tcW w:w="900" w:type="dxa"/>
            <w:tcBorders>
              <w:top w:val="nil"/>
              <w:left w:val="single" w:sz="8" w:space="0" w:color="auto"/>
              <w:bottom w:val="nil"/>
              <w:right w:val="nil"/>
            </w:tcBorders>
            <w:shd w:val="clear" w:color="auto" w:fill="auto"/>
            <w:noWrap/>
            <w:vAlign w:val="bottom"/>
            <w:hideMark/>
          </w:tcPr>
          <w:p w14:paraId="2A8E0B92"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9</w:t>
            </w:r>
          </w:p>
        </w:tc>
        <w:tc>
          <w:tcPr>
            <w:tcW w:w="1040" w:type="dxa"/>
            <w:tcBorders>
              <w:top w:val="nil"/>
              <w:left w:val="nil"/>
              <w:bottom w:val="nil"/>
              <w:right w:val="nil"/>
            </w:tcBorders>
            <w:shd w:val="clear" w:color="auto" w:fill="auto"/>
            <w:noWrap/>
            <w:vAlign w:val="bottom"/>
            <w:hideMark/>
          </w:tcPr>
          <w:p w14:paraId="265EB82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6</w:t>
            </w:r>
          </w:p>
        </w:tc>
        <w:tc>
          <w:tcPr>
            <w:tcW w:w="1160" w:type="dxa"/>
            <w:tcBorders>
              <w:top w:val="nil"/>
              <w:left w:val="nil"/>
              <w:bottom w:val="nil"/>
              <w:right w:val="single" w:sz="8" w:space="0" w:color="auto"/>
            </w:tcBorders>
            <w:shd w:val="clear" w:color="auto" w:fill="auto"/>
            <w:noWrap/>
            <w:vAlign w:val="bottom"/>
            <w:hideMark/>
          </w:tcPr>
          <w:p w14:paraId="1ACBA163"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3</w:t>
            </w:r>
          </w:p>
        </w:tc>
        <w:tc>
          <w:tcPr>
            <w:tcW w:w="1625" w:type="dxa"/>
            <w:tcBorders>
              <w:top w:val="nil"/>
              <w:left w:val="nil"/>
              <w:bottom w:val="nil"/>
              <w:right w:val="single" w:sz="8" w:space="0" w:color="auto"/>
            </w:tcBorders>
            <w:shd w:val="clear" w:color="auto" w:fill="auto"/>
            <w:noWrap/>
            <w:vAlign w:val="bottom"/>
            <w:hideMark/>
          </w:tcPr>
          <w:p w14:paraId="10FB180D"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0.66 (0.17-3.17)</w:t>
            </w:r>
          </w:p>
        </w:tc>
        <w:tc>
          <w:tcPr>
            <w:tcW w:w="555" w:type="dxa"/>
            <w:tcBorders>
              <w:top w:val="nil"/>
              <w:left w:val="nil"/>
              <w:bottom w:val="nil"/>
              <w:right w:val="nil"/>
            </w:tcBorders>
            <w:shd w:val="clear" w:color="auto" w:fill="auto"/>
            <w:noWrap/>
            <w:vAlign w:val="bottom"/>
            <w:hideMark/>
          </w:tcPr>
          <w:p w14:paraId="0BD6705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0.56</w:t>
            </w:r>
          </w:p>
        </w:tc>
        <w:tc>
          <w:tcPr>
            <w:tcW w:w="980" w:type="dxa"/>
            <w:tcBorders>
              <w:top w:val="nil"/>
              <w:left w:val="nil"/>
              <w:bottom w:val="nil"/>
              <w:right w:val="single" w:sz="8" w:space="0" w:color="auto"/>
            </w:tcBorders>
            <w:shd w:val="clear" w:color="auto" w:fill="auto"/>
            <w:noWrap/>
            <w:vAlign w:val="bottom"/>
            <w:hideMark/>
          </w:tcPr>
          <w:p w14:paraId="3CA03CE7"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01594E07"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3121BBAB"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Hypertension</w:t>
            </w:r>
          </w:p>
        </w:tc>
        <w:tc>
          <w:tcPr>
            <w:tcW w:w="900" w:type="dxa"/>
            <w:tcBorders>
              <w:top w:val="nil"/>
              <w:left w:val="single" w:sz="8" w:space="0" w:color="auto"/>
              <w:bottom w:val="nil"/>
              <w:right w:val="nil"/>
            </w:tcBorders>
            <w:shd w:val="clear" w:color="auto" w:fill="auto"/>
            <w:noWrap/>
            <w:vAlign w:val="bottom"/>
            <w:hideMark/>
          </w:tcPr>
          <w:p w14:paraId="762952A1"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19</w:t>
            </w:r>
          </w:p>
        </w:tc>
        <w:tc>
          <w:tcPr>
            <w:tcW w:w="1040" w:type="dxa"/>
            <w:tcBorders>
              <w:top w:val="nil"/>
              <w:left w:val="nil"/>
              <w:bottom w:val="nil"/>
              <w:right w:val="nil"/>
            </w:tcBorders>
            <w:shd w:val="clear" w:color="auto" w:fill="auto"/>
            <w:noWrap/>
            <w:vAlign w:val="bottom"/>
            <w:hideMark/>
          </w:tcPr>
          <w:p w14:paraId="2A53DD9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13</w:t>
            </w:r>
          </w:p>
        </w:tc>
        <w:tc>
          <w:tcPr>
            <w:tcW w:w="1160" w:type="dxa"/>
            <w:tcBorders>
              <w:top w:val="nil"/>
              <w:left w:val="nil"/>
              <w:bottom w:val="nil"/>
              <w:right w:val="single" w:sz="8" w:space="0" w:color="auto"/>
            </w:tcBorders>
            <w:shd w:val="clear" w:color="auto" w:fill="auto"/>
            <w:noWrap/>
            <w:vAlign w:val="bottom"/>
            <w:hideMark/>
          </w:tcPr>
          <w:p w14:paraId="6E68509A"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6</w:t>
            </w:r>
          </w:p>
        </w:tc>
        <w:tc>
          <w:tcPr>
            <w:tcW w:w="1625" w:type="dxa"/>
            <w:tcBorders>
              <w:top w:val="nil"/>
              <w:left w:val="nil"/>
              <w:bottom w:val="nil"/>
              <w:right w:val="single" w:sz="8" w:space="0" w:color="auto"/>
            </w:tcBorders>
            <w:shd w:val="clear" w:color="auto" w:fill="auto"/>
            <w:noWrap/>
            <w:vAlign w:val="bottom"/>
            <w:hideMark/>
          </w:tcPr>
          <w:p w14:paraId="32E91BFB"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0.71 (0.27-2.07)</w:t>
            </w:r>
          </w:p>
        </w:tc>
        <w:tc>
          <w:tcPr>
            <w:tcW w:w="555" w:type="dxa"/>
            <w:tcBorders>
              <w:top w:val="nil"/>
              <w:left w:val="nil"/>
              <w:bottom w:val="nil"/>
              <w:right w:val="nil"/>
            </w:tcBorders>
            <w:shd w:val="clear" w:color="auto" w:fill="auto"/>
            <w:noWrap/>
            <w:vAlign w:val="bottom"/>
            <w:hideMark/>
          </w:tcPr>
          <w:p w14:paraId="33E345B9"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0.50</w:t>
            </w:r>
          </w:p>
        </w:tc>
        <w:tc>
          <w:tcPr>
            <w:tcW w:w="980" w:type="dxa"/>
            <w:tcBorders>
              <w:top w:val="nil"/>
              <w:left w:val="nil"/>
              <w:bottom w:val="nil"/>
              <w:right w:val="single" w:sz="8" w:space="0" w:color="auto"/>
            </w:tcBorders>
            <w:shd w:val="clear" w:color="auto" w:fill="auto"/>
            <w:noWrap/>
            <w:vAlign w:val="bottom"/>
            <w:hideMark/>
          </w:tcPr>
          <w:p w14:paraId="30F6A65F"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66334E08"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5A1308E8"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Immunosuppression</w:t>
            </w:r>
          </w:p>
        </w:tc>
        <w:tc>
          <w:tcPr>
            <w:tcW w:w="900" w:type="dxa"/>
            <w:tcBorders>
              <w:top w:val="nil"/>
              <w:left w:val="single" w:sz="8" w:space="0" w:color="auto"/>
              <w:bottom w:val="nil"/>
              <w:right w:val="nil"/>
            </w:tcBorders>
            <w:shd w:val="clear" w:color="auto" w:fill="auto"/>
            <w:noWrap/>
            <w:vAlign w:val="bottom"/>
            <w:hideMark/>
          </w:tcPr>
          <w:p w14:paraId="27498620"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w:t>
            </w:r>
          </w:p>
        </w:tc>
        <w:tc>
          <w:tcPr>
            <w:tcW w:w="1040" w:type="dxa"/>
            <w:tcBorders>
              <w:top w:val="nil"/>
              <w:left w:val="nil"/>
              <w:bottom w:val="nil"/>
              <w:right w:val="nil"/>
            </w:tcBorders>
            <w:shd w:val="clear" w:color="auto" w:fill="auto"/>
            <w:noWrap/>
            <w:vAlign w:val="bottom"/>
            <w:hideMark/>
          </w:tcPr>
          <w:p w14:paraId="4AAB306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w:t>
            </w:r>
          </w:p>
        </w:tc>
        <w:tc>
          <w:tcPr>
            <w:tcW w:w="1160" w:type="dxa"/>
            <w:tcBorders>
              <w:top w:val="nil"/>
              <w:left w:val="nil"/>
              <w:bottom w:val="nil"/>
              <w:right w:val="single" w:sz="8" w:space="0" w:color="auto"/>
            </w:tcBorders>
            <w:shd w:val="clear" w:color="auto" w:fill="auto"/>
            <w:noWrap/>
            <w:vAlign w:val="bottom"/>
            <w:hideMark/>
          </w:tcPr>
          <w:p w14:paraId="246C8A6E"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w:t>
            </w:r>
          </w:p>
        </w:tc>
        <w:tc>
          <w:tcPr>
            <w:tcW w:w="1625" w:type="dxa"/>
            <w:tcBorders>
              <w:top w:val="nil"/>
              <w:left w:val="nil"/>
              <w:bottom w:val="nil"/>
              <w:right w:val="single" w:sz="8" w:space="0" w:color="auto"/>
            </w:tcBorders>
            <w:shd w:val="clear" w:color="auto" w:fill="auto"/>
            <w:noWrap/>
            <w:vAlign w:val="bottom"/>
            <w:hideMark/>
          </w:tcPr>
          <w:p w14:paraId="73075B79"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na</w:t>
            </w:r>
          </w:p>
        </w:tc>
        <w:tc>
          <w:tcPr>
            <w:tcW w:w="555" w:type="dxa"/>
            <w:tcBorders>
              <w:top w:val="nil"/>
              <w:left w:val="nil"/>
              <w:bottom w:val="nil"/>
              <w:right w:val="nil"/>
            </w:tcBorders>
            <w:shd w:val="clear" w:color="auto" w:fill="auto"/>
            <w:noWrap/>
            <w:vAlign w:val="bottom"/>
            <w:hideMark/>
          </w:tcPr>
          <w:p w14:paraId="7C4D3607"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na</w:t>
            </w:r>
          </w:p>
        </w:tc>
        <w:tc>
          <w:tcPr>
            <w:tcW w:w="980" w:type="dxa"/>
            <w:tcBorders>
              <w:top w:val="nil"/>
              <w:left w:val="nil"/>
              <w:bottom w:val="nil"/>
              <w:right w:val="single" w:sz="8" w:space="0" w:color="auto"/>
            </w:tcBorders>
            <w:shd w:val="clear" w:color="auto" w:fill="auto"/>
            <w:noWrap/>
            <w:vAlign w:val="bottom"/>
            <w:hideMark/>
          </w:tcPr>
          <w:p w14:paraId="391E9B29"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na</w:t>
            </w:r>
          </w:p>
        </w:tc>
      </w:tr>
      <w:tr w:rsidR="00662AD3" w:rsidRPr="00662AD3" w14:paraId="29B4DEDA"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59457673"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Other_chronic_lung_condition</w:t>
            </w:r>
          </w:p>
        </w:tc>
        <w:tc>
          <w:tcPr>
            <w:tcW w:w="900" w:type="dxa"/>
            <w:tcBorders>
              <w:top w:val="nil"/>
              <w:left w:val="single" w:sz="8" w:space="0" w:color="auto"/>
              <w:bottom w:val="nil"/>
              <w:right w:val="nil"/>
            </w:tcBorders>
            <w:shd w:val="clear" w:color="auto" w:fill="auto"/>
            <w:noWrap/>
            <w:vAlign w:val="bottom"/>
            <w:hideMark/>
          </w:tcPr>
          <w:p w14:paraId="58DE090B"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5</w:t>
            </w:r>
          </w:p>
        </w:tc>
        <w:tc>
          <w:tcPr>
            <w:tcW w:w="1040" w:type="dxa"/>
            <w:tcBorders>
              <w:top w:val="nil"/>
              <w:left w:val="nil"/>
              <w:bottom w:val="nil"/>
              <w:right w:val="nil"/>
            </w:tcBorders>
            <w:shd w:val="clear" w:color="auto" w:fill="auto"/>
            <w:noWrap/>
            <w:vAlign w:val="bottom"/>
            <w:hideMark/>
          </w:tcPr>
          <w:p w14:paraId="590DE11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5</w:t>
            </w:r>
          </w:p>
        </w:tc>
        <w:tc>
          <w:tcPr>
            <w:tcW w:w="1160" w:type="dxa"/>
            <w:tcBorders>
              <w:top w:val="nil"/>
              <w:left w:val="nil"/>
              <w:bottom w:val="nil"/>
              <w:right w:val="single" w:sz="8" w:space="0" w:color="auto"/>
            </w:tcBorders>
            <w:shd w:val="clear" w:color="auto" w:fill="auto"/>
            <w:noWrap/>
            <w:vAlign w:val="bottom"/>
            <w:hideMark/>
          </w:tcPr>
          <w:p w14:paraId="0480C6AA"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w:t>
            </w:r>
          </w:p>
        </w:tc>
        <w:tc>
          <w:tcPr>
            <w:tcW w:w="1625" w:type="dxa"/>
            <w:tcBorders>
              <w:top w:val="nil"/>
              <w:left w:val="nil"/>
              <w:bottom w:val="nil"/>
              <w:right w:val="single" w:sz="8" w:space="0" w:color="auto"/>
            </w:tcBorders>
            <w:shd w:val="clear" w:color="auto" w:fill="auto"/>
            <w:noWrap/>
            <w:vAlign w:val="bottom"/>
            <w:hideMark/>
          </w:tcPr>
          <w:p w14:paraId="5B5207AD"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na</w:t>
            </w:r>
          </w:p>
        </w:tc>
        <w:tc>
          <w:tcPr>
            <w:tcW w:w="555" w:type="dxa"/>
            <w:tcBorders>
              <w:top w:val="nil"/>
              <w:left w:val="nil"/>
              <w:bottom w:val="nil"/>
              <w:right w:val="nil"/>
            </w:tcBorders>
            <w:shd w:val="clear" w:color="auto" w:fill="auto"/>
            <w:noWrap/>
            <w:vAlign w:val="bottom"/>
            <w:hideMark/>
          </w:tcPr>
          <w:p w14:paraId="74FD603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na</w:t>
            </w:r>
          </w:p>
        </w:tc>
        <w:tc>
          <w:tcPr>
            <w:tcW w:w="980" w:type="dxa"/>
            <w:tcBorders>
              <w:top w:val="nil"/>
              <w:left w:val="nil"/>
              <w:bottom w:val="nil"/>
              <w:right w:val="single" w:sz="8" w:space="0" w:color="auto"/>
            </w:tcBorders>
            <w:shd w:val="clear" w:color="auto" w:fill="auto"/>
            <w:noWrap/>
            <w:vAlign w:val="bottom"/>
            <w:hideMark/>
          </w:tcPr>
          <w:p w14:paraId="3761458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na</w:t>
            </w:r>
          </w:p>
        </w:tc>
      </w:tr>
      <w:tr w:rsidR="00662AD3" w:rsidRPr="00662AD3" w14:paraId="527D4F37"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1AD61B60"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Renal_impairment</w:t>
            </w:r>
          </w:p>
        </w:tc>
        <w:tc>
          <w:tcPr>
            <w:tcW w:w="900" w:type="dxa"/>
            <w:tcBorders>
              <w:top w:val="nil"/>
              <w:left w:val="single" w:sz="8" w:space="0" w:color="auto"/>
              <w:bottom w:val="nil"/>
              <w:right w:val="nil"/>
            </w:tcBorders>
            <w:shd w:val="clear" w:color="auto" w:fill="auto"/>
            <w:noWrap/>
            <w:vAlign w:val="bottom"/>
            <w:hideMark/>
          </w:tcPr>
          <w:p w14:paraId="22E504F9"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w:t>
            </w:r>
          </w:p>
        </w:tc>
        <w:tc>
          <w:tcPr>
            <w:tcW w:w="1040" w:type="dxa"/>
            <w:tcBorders>
              <w:top w:val="nil"/>
              <w:left w:val="nil"/>
              <w:bottom w:val="nil"/>
              <w:right w:val="nil"/>
            </w:tcBorders>
            <w:shd w:val="clear" w:color="auto" w:fill="auto"/>
            <w:noWrap/>
            <w:vAlign w:val="bottom"/>
            <w:hideMark/>
          </w:tcPr>
          <w:p w14:paraId="46FC88CB"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w:t>
            </w:r>
          </w:p>
        </w:tc>
        <w:tc>
          <w:tcPr>
            <w:tcW w:w="1160" w:type="dxa"/>
            <w:tcBorders>
              <w:top w:val="nil"/>
              <w:left w:val="nil"/>
              <w:bottom w:val="nil"/>
              <w:right w:val="single" w:sz="8" w:space="0" w:color="auto"/>
            </w:tcBorders>
            <w:shd w:val="clear" w:color="auto" w:fill="auto"/>
            <w:noWrap/>
            <w:vAlign w:val="bottom"/>
            <w:hideMark/>
          </w:tcPr>
          <w:p w14:paraId="6118A06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w:t>
            </w:r>
          </w:p>
        </w:tc>
        <w:tc>
          <w:tcPr>
            <w:tcW w:w="1625" w:type="dxa"/>
            <w:tcBorders>
              <w:top w:val="nil"/>
              <w:left w:val="nil"/>
              <w:bottom w:val="nil"/>
              <w:right w:val="single" w:sz="8" w:space="0" w:color="auto"/>
            </w:tcBorders>
            <w:shd w:val="clear" w:color="auto" w:fill="auto"/>
            <w:noWrap/>
            <w:vAlign w:val="bottom"/>
            <w:hideMark/>
          </w:tcPr>
          <w:p w14:paraId="08CE3BEE"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na</w:t>
            </w:r>
          </w:p>
        </w:tc>
        <w:tc>
          <w:tcPr>
            <w:tcW w:w="555" w:type="dxa"/>
            <w:tcBorders>
              <w:top w:val="nil"/>
              <w:left w:val="nil"/>
              <w:bottom w:val="nil"/>
              <w:right w:val="nil"/>
            </w:tcBorders>
            <w:shd w:val="clear" w:color="auto" w:fill="auto"/>
            <w:noWrap/>
            <w:vAlign w:val="bottom"/>
            <w:hideMark/>
          </w:tcPr>
          <w:p w14:paraId="6ADDC8E3"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na</w:t>
            </w:r>
          </w:p>
        </w:tc>
        <w:tc>
          <w:tcPr>
            <w:tcW w:w="980" w:type="dxa"/>
            <w:tcBorders>
              <w:top w:val="nil"/>
              <w:left w:val="nil"/>
              <w:bottom w:val="nil"/>
              <w:right w:val="single" w:sz="8" w:space="0" w:color="auto"/>
            </w:tcBorders>
            <w:shd w:val="clear" w:color="auto" w:fill="auto"/>
            <w:noWrap/>
            <w:vAlign w:val="bottom"/>
            <w:hideMark/>
          </w:tcPr>
          <w:p w14:paraId="5970ABD7"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na</w:t>
            </w:r>
          </w:p>
        </w:tc>
      </w:tr>
      <w:tr w:rsidR="00662AD3" w:rsidRPr="00662AD3" w14:paraId="34CF62F2"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2C54D157"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Steroid_therapy</w:t>
            </w:r>
          </w:p>
        </w:tc>
        <w:tc>
          <w:tcPr>
            <w:tcW w:w="900" w:type="dxa"/>
            <w:tcBorders>
              <w:top w:val="nil"/>
              <w:left w:val="single" w:sz="8" w:space="0" w:color="auto"/>
              <w:bottom w:val="nil"/>
              <w:right w:val="nil"/>
            </w:tcBorders>
            <w:shd w:val="clear" w:color="auto" w:fill="auto"/>
            <w:noWrap/>
            <w:vAlign w:val="bottom"/>
            <w:hideMark/>
          </w:tcPr>
          <w:p w14:paraId="4CEFC0B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4</w:t>
            </w:r>
          </w:p>
        </w:tc>
        <w:tc>
          <w:tcPr>
            <w:tcW w:w="1040" w:type="dxa"/>
            <w:tcBorders>
              <w:top w:val="nil"/>
              <w:left w:val="nil"/>
              <w:bottom w:val="nil"/>
              <w:right w:val="nil"/>
            </w:tcBorders>
            <w:shd w:val="clear" w:color="auto" w:fill="auto"/>
            <w:noWrap/>
            <w:vAlign w:val="bottom"/>
            <w:hideMark/>
          </w:tcPr>
          <w:p w14:paraId="24C0D23F"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3</w:t>
            </w:r>
          </w:p>
        </w:tc>
        <w:tc>
          <w:tcPr>
            <w:tcW w:w="1160" w:type="dxa"/>
            <w:tcBorders>
              <w:top w:val="nil"/>
              <w:left w:val="nil"/>
              <w:bottom w:val="nil"/>
              <w:right w:val="single" w:sz="8" w:space="0" w:color="auto"/>
            </w:tcBorders>
            <w:shd w:val="clear" w:color="auto" w:fill="auto"/>
            <w:noWrap/>
            <w:vAlign w:val="bottom"/>
            <w:hideMark/>
          </w:tcPr>
          <w:p w14:paraId="144E835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w:t>
            </w:r>
          </w:p>
        </w:tc>
        <w:tc>
          <w:tcPr>
            <w:tcW w:w="1625" w:type="dxa"/>
            <w:tcBorders>
              <w:top w:val="nil"/>
              <w:left w:val="nil"/>
              <w:bottom w:val="nil"/>
              <w:right w:val="single" w:sz="8" w:space="0" w:color="auto"/>
            </w:tcBorders>
            <w:shd w:val="clear" w:color="auto" w:fill="auto"/>
            <w:noWrap/>
            <w:vAlign w:val="bottom"/>
            <w:hideMark/>
          </w:tcPr>
          <w:p w14:paraId="2311933F"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1.00 (0.13-20.35)</w:t>
            </w:r>
          </w:p>
        </w:tc>
        <w:tc>
          <w:tcPr>
            <w:tcW w:w="555" w:type="dxa"/>
            <w:tcBorders>
              <w:top w:val="nil"/>
              <w:left w:val="nil"/>
              <w:bottom w:val="nil"/>
              <w:right w:val="nil"/>
            </w:tcBorders>
            <w:shd w:val="clear" w:color="auto" w:fill="auto"/>
            <w:noWrap/>
            <w:vAlign w:val="bottom"/>
            <w:hideMark/>
          </w:tcPr>
          <w:p w14:paraId="744AAE47"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w:t>
            </w:r>
          </w:p>
        </w:tc>
        <w:tc>
          <w:tcPr>
            <w:tcW w:w="980" w:type="dxa"/>
            <w:tcBorders>
              <w:top w:val="nil"/>
              <w:left w:val="nil"/>
              <w:bottom w:val="nil"/>
              <w:right w:val="single" w:sz="8" w:space="0" w:color="auto"/>
            </w:tcBorders>
            <w:shd w:val="clear" w:color="auto" w:fill="auto"/>
            <w:noWrap/>
            <w:vAlign w:val="bottom"/>
            <w:hideMark/>
          </w:tcPr>
          <w:p w14:paraId="700CC430"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38E04423" w14:textId="77777777" w:rsidTr="00FA5C21">
        <w:trPr>
          <w:trHeight w:val="220"/>
        </w:trPr>
        <w:tc>
          <w:tcPr>
            <w:tcW w:w="2211" w:type="dxa"/>
            <w:tcBorders>
              <w:top w:val="nil"/>
              <w:left w:val="single" w:sz="8" w:space="0" w:color="auto"/>
              <w:bottom w:val="nil"/>
              <w:right w:val="nil"/>
            </w:tcBorders>
            <w:shd w:val="clear" w:color="auto" w:fill="auto"/>
            <w:noWrap/>
            <w:vAlign w:val="bottom"/>
            <w:hideMark/>
          </w:tcPr>
          <w:p w14:paraId="13139AFC"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Not_applicable</w:t>
            </w:r>
          </w:p>
        </w:tc>
        <w:tc>
          <w:tcPr>
            <w:tcW w:w="900" w:type="dxa"/>
            <w:tcBorders>
              <w:top w:val="nil"/>
              <w:left w:val="single" w:sz="8" w:space="0" w:color="auto"/>
              <w:bottom w:val="nil"/>
              <w:right w:val="nil"/>
            </w:tcBorders>
            <w:shd w:val="clear" w:color="auto" w:fill="auto"/>
            <w:noWrap/>
            <w:vAlign w:val="bottom"/>
            <w:hideMark/>
          </w:tcPr>
          <w:p w14:paraId="722D6A72"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261</w:t>
            </w:r>
          </w:p>
        </w:tc>
        <w:tc>
          <w:tcPr>
            <w:tcW w:w="1040" w:type="dxa"/>
            <w:tcBorders>
              <w:top w:val="nil"/>
              <w:left w:val="nil"/>
              <w:bottom w:val="nil"/>
              <w:right w:val="nil"/>
            </w:tcBorders>
            <w:shd w:val="clear" w:color="auto" w:fill="auto"/>
            <w:noWrap/>
            <w:vAlign w:val="bottom"/>
            <w:hideMark/>
          </w:tcPr>
          <w:p w14:paraId="53597A6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195</w:t>
            </w:r>
          </w:p>
        </w:tc>
        <w:tc>
          <w:tcPr>
            <w:tcW w:w="1160" w:type="dxa"/>
            <w:tcBorders>
              <w:top w:val="nil"/>
              <w:left w:val="nil"/>
              <w:bottom w:val="nil"/>
              <w:right w:val="single" w:sz="8" w:space="0" w:color="auto"/>
            </w:tcBorders>
            <w:shd w:val="clear" w:color="auto" w:fill="auto"/>
            <w:noWrap/>
            <w:vAlign w:val="bottom"/>
            <w:hideMark/>
          </w:tcPr>
          <w:p w14:paraId="2AB94C95"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66</w:t>
            </w:r>
          </w:p>
        </w:tc>
        <w:tc>
          <w:tcPr>
            <w:tcW w:w="1625" w:type="dxa"/>
            <w:tcBorders>
              <w:top w:val="nil"/>
              <w:left w:val="nil"/>
              <w:bottom w:val="nil"/>
              <w:right w:val="single" w:sz="8" w:space="0" w:color="auto"/>
            </w:tcBorders>
            <w:shd w:val="clear" w:color="auto" w:fill="auto"/>
            <w:noWrap/>
            <w:vAlign w:val="bottom"/>
            <w:hideMark/>
          </w:tcPr>
          <w:p w14:paraId="21BBCC71"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0.95 (0.55-1.59)</w:t>
            </w:r>
          </w:p>
        </w:tc>
        <w:tc>
          <w:tcPr>
            <w:tcW w:w="555" w:type="dxa"/>
            <w:tcBorders>
              <w:top w:val="nil"/>
              <w:left w:val="nil"/>
              <w:bottom w:val="nil"/>
              <w:right w:val="nil"/>
            </w:tcBorders>
            <w:shd w:val="clear" w:color="auto" w:fill="auto"/>
            <w:noWrap/>
            <w:vAlign w:val="bottom"/>
            <w:hideMark/>
          </w:tcPr>
          <w:p w14:paraId="3C9EDC80"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0.84</w:t>
            </w:r>
          </w:p>
        </w:tc>
        <w:tc>
          <w:tcPr>
            <w:tcW w:w="980" w:type="dxa"/>
            <w:tcBorders>
              <w:top w:val="nil"/>
              <w:left w:val="nil"/>
              <w:bottom w:val="nil"/>
              <w:right w:val="single" w:sz="8" w:space="0" w:color="auto"/>
            </w:tcBorders>
            <w:shd w:val="clear" w:color="auto" w:fill="auto"/>
            <w:noWrap/>
            <w:vAlign w:val="bottom"/>
            <w:hideMark/>
          </w:tcPr>
          <w:p w14:paraId="357DDEFC"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ns</w:t>
            </w:r>
          </w:p>
        </w:tc>
      </w:tr>
      <w:tr w:rsidR="00662AD3" w:rsidRPr="00662AD3" w14:paraId="3B9241A1" w14:textId="77777777" w:rsidTr="00FA5C21">
        <w:trPr>
          <w:trHeight w:val="220"/>
        </w:trPr>
        <w:tc>
          <w:tcPr>
            <w:tcW w:w="2211" w:type="dxa"/>
            <w:tcBorders>
              <w:top w:val="nil"/>
              <w:left w:val="single" w:sz="8" w:space="0" w:color="auto"/>
              <w:bottom w:val="single" w:sz="4" w:space="0" w:color="auto"/>
              <w:right w:val="nil"/>
            </w:tcBorders>
            <w:shd w:val="clear" w:color="auto" w:fill="auto"/>
            <w:noWrap/>
            <w:vAlign w:val="bottom"/>
            <w:hideMark/>
          </w:tcPr>
          <w:p w14:paraId="0EA2BD59" w14:textId="77777777" w:rsidR="00662AD3" w:rsidRPr="00662AD3" w:rsidRDefault="00662AD3" w:rsidP="00662AD3">
            <w:pPr>
              <w:rPr>
                <w:rFonts w:ascii="Calibri" w:hAnsi="Calibri" w:cs="Calibri"/>
                <w:color w:val="000000"/>
                <w:sz w:val="16"/>
                <w:szCs w:val="16"/>
              </w:rPr>
            </w:pPr>
            <w:r w:rsidRPr="00662AD3">
              <w:rPr>
                <w:rFonts w:ascii="Calibri" w:hAnsi="Calibri" w:cs="Calibri"/>
                <w:color w:val="000000"/>
                <w:sz w:val="16"/>
                <w:szCs w:val="16"/>
              </w:rPr>
              <w:t>No data</w:t>
            </w:r>
          </w:p>
        </w:tc>
        <w:tc>
          <w:tcPr>
            <w:tcW w:w="900" w:type="dxa"/>
            <w:tcBorders>
              <w:top w:val="nil"/>
              <w:left w:val="single" w:sz="8" w:space="0" w:color="auto"/>
              <w:bottom w:val="single" w:sz="4" w:space="0" w:color="auto"/>
              <w:right w:val="nil"/>
            </w:tcBorders>
            <w:shd w:val="clear" w:color="auto" w:fill="auto"/>
            <w:noWrap/>
            <w:vAlign w:val="bottom"/>
            <w:hideMark/>
          </w:tcPr>
          <w:p w14:paraId="1446AF84"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57</w:t>
            </w:r>
          </w:p>
        </w:tc>
        <w:tc>
          <w:tcPr>
            <w:tcW w:w="1040" w:type="dxa"/>
            <w:tcBorders>
              <w:top w:val="nil"/>
              <w:left w:val="nil"/>
              <w:bottom w:val="single" w:sz="4" w:space="0" w:color="auto"/>
              <w:right w:val="nil"/>
            </w:tcBorders>
            <w:shd w:val="clear" w:color="auto" w:fill="auto"/>
            <w:noWrap/>
            <w:vAlign w:val="bottom"/>
            <w:hideMark/>
          </w:tcPr>
          <w:p w14:paraId="76C8068F"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39</w:t>
            </w:r>
          </w:p>
        </w:tc>
        <w:tc>
          <w:tcPr>
            <w:tcW w:w="1160" w:type="dxa"/>
            <w:tcBorders>
              <w:top w:val="nil"/>
              <w:left w:val="nil"/>
              <w:bottom w:val="single" w:sz="4" w:space="0" w:color="auto"/>
              <w:right w:val="single" w:sz="8" w:space="0" w:color="auto"/>
            </w:tcBorders>
            <w:shd w:val="clear" w:color="auto" w:fill="auto"/>
            <w:noWrap/>
            <w:vAlign w:val="bottom"/>
            <w:hideMark/>
          </w:tcPr>
          <w:p w14:paraId="72B09136"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18</w:t>
            </w:r>
          </w:p>
        </w:tc>
        <w:tc>
          <w:tcPr>
            <w:tcW w:w="1625" w:type="dxa"/>
            <w:tcBorders>
              <w:top w:val="nil"/>
              <w:left w:val="nil"/>
              <w:bottom w:val="single" w:sz="4" w:space="0" w:color="auto"/>
              <w:right w:val="single" w:sz="8" w:space="0" w:color="auto"/>
            </w:tcBorders>
            <w:shd w:val="clear" w:color="auto" w:fill="auto"/>
            <w:noWrap/>
            <w:vAlign w:val="bottom"/>
            <w:hideMark/>
          </w:tcPr>
          <w:p w14:paraId="7ABFA8CB" w14:textId="77777777" w:rsidR="00662AD3" w:rsidRPr="00662AD3" w:rsidRDefault="00662AD3" w:rsidP="00662AD3">
            <w:pPr>
              <w:jc w:val="center"/>
              <w:rPr>
                <w:rFonts w:ascii="Calibri" w:hAnsi="Calibri" w:cs="Calibri"/>
                <w:color w:val="000000"/>
                <w:sz w:val="16"/>
                <w:szCs w:val="16"/>
              </w:rPr>
            </w:pPr>
            <w:r w:rsidRPr="00662AD3">
              <w:rPr>
                <w:rFonts w:ascii="Calibri" w:hAnsi="Calibri" w:cs="Calibri"/>
                <w:color w:val="000000"/>
                <w:sz w:val="16"/>
                <w:szCs w:val="16"/>
              </w:rPr>
              <w:t> </w:t>
            </w:r>
          </w:p>
        </w:tc>
        <w:tc>
          <w:tcPr>
            <w:tcW w:w="555" w:type="dxa"/>
            <w:tcBorders>
              <w:top w:val="nil"/>
              <w:left w:val="nil"/>
              <w:bottom w:val="single" w:sz="4" w:space="0" w:color="auto"/>
              <w:right w:val="nil"/>
            </w:tcBorders>
            <w:shd w:val="clear" w:color="auto" w:fill="auto"/>
            <w:noWrap/>
            <w:vAlign w:val="bottom"/>
            <w:hideMark/>
          </w:tcPr>
          <w:p w14:paraId="25BB6E68"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c>
          <w:tcPr>
            <w:tcW w:w="980" w:type="dxa"/>
            <w:tcBorders>
              <w:top w:val="nil"/>
              <w:left w:val="nil"/>
              <w:bottom w:val="single" w:sz="4" w:space="0" w:color="auto"/>
              <w:right w:val="single" w:sz="8" w:space="0" w:color="auto"/>
            </w:tcBorders>
            <w:shd w:val="clear" w:color="auto" w:fill="auto"/>
            <w:noWrap/>
            <w:vAlign w:val="bottom"/>
            <w:hideMark/>
          </w:tcPr>
          <w:p w14:paraId="22874C99" w14:textId="77777777" w:rsidR="00662AD3" w:rsidRPr="00662AD3" w:rsidRDefault="00662AD3" w:rsidP="00662AD3">
            <w:pPr>
              <w:jc w:val="right"/>
              <w:rPr>
                <w:rFonts w:ascii="Calibri" w:hAnsi="Calibri" w:cs="Calibri"/>
                <w:color w:val="000000"/>
                <w:sz w:val="16"/>
                <w:szCs w:val="16"/>
              </w:rPr>
            </w:pPr>
            <w:r w:rsidRPr="00662AD3">
              <w:rPr>
                <w:rFonts w:ascii="Calibri" w:hAnsi="Calibri" w:cs="Calibri"/>
                <w:color w:val="000000"/>
                <w:sz w:val="16"/>
                <w:szCs w:val="16"/>
              </w:rPr>
              <w:t> </w:t>
            </w:r>
          </w:p>
        </w:tc>
      </w:tr>
    </w:tbl>
    <w:p w14:paraId="693E071F" w14:textId="0BA41C63" w:rsidR="008A3847" w:rsidRDefault="008A3847" w:rsidP="000448D9">
      <w:pPr>
        <w:jc w:val="both"/>
        <w:rPr>
          <w:rFonts w:ascii="Arial" w:hAnsi="Arial" w:cs="Arial"/>
          <w:color w:val="000000" w:themeColor="text1"/>
          <w:sz w:val="14"/>
          <w:szCs w:val="14"/>
        </w:rPr>
      </w:pPr>
    </w:p>
    <w:p w14:paraId="31E1B990" w14:textId="77777777" w:rsidR="008A3847" w:rsidRPr="00FA5C21" w:rsidRDefault="008A3847" w:rsidP="000448D9">
      <w:pPr>
        <w:jc w:val="both"/>
        <w:rPr>
          <w:rFonts w:ascii="Arial" w:hAnsi="Arial" w:cs="Arial"/>
          <w:color w:val="000000" w:themeColor="text1"/>
          <w:sz w:val="14"/>
          <w:szCs w:val="14"/>
        </w:rPr>
      </w:pPr>
    </w:p>
    <w:p w14:paraId="0818FA2C" w14:textId="662358F5" w:rsidR="000448D9" w:rsidRDefault="000448D9">
      <w:pPr>
        <w:rPr>
          <w:rFonts w:ascii="Arial" w:hAnsi="Arial" w:cs="Arial"/>
          <w:b/>
          <w:sz w:val="18"/>
          <w:szCs w:val="18"/>
        </w:rPr>
      </w:pPr>
    </w:p>
    <w:p w14:paraId="75188AB7" w14:textId="77777777" w:rsidR="000448D9" w:rsidRDefault="000448D9">
      <w:pPr>
        <w:rPr>
          <w:rFonts w:ascii="Arial" w:hAnsi="Arial" w:cs="Arial"/>
          <w:b/>
          <w:sz w:val="18"/>
          <w:szCs w:val="18"/>
        </w:rPr>
      </w:pPr>
    </w:p>
    <w:p w14:paraId="6C929828" w14:textId="5692B430" w:rsidR="00217AF9" w:rsidRDefault="00217AF9">
      <w:pPr>
        <w:rPr>
          <w:rFonts w:ascii="Arial" w:hAnsi="Arial" w:cs="Arial"/>
          <w:b/>
          <w:sz w:val="18"/>
          <w:szCs w:val="18"/>
        </w:rPr>
      </w:pPr>
    </w:p>
    <w:p w14:paraId="55178A40" w14:textId="031F99E9" w:rsidR="001E1424" w:rsidRDefault="001E1424">
      <w:pPr>
        <w:rPr>
          <w:rFonts w:ascii="Arial" w:hAnsi="Arial" w:cs="Arial"/>
          <w:b/>
          <w:sz w:val="18"/>
          <w:szCs w:val="18"/>
        </w:rPr>
      </w:pPr>
    </w:p>
    <w:p w14:paraId="6E603F42" w14:textId="7D67A8FB" w:rsidR="001E1424" w:rsidRDefault="001E1424">
      <w:pPr>
        <w:rPr>
          <w:rFonts w:ascii="Arial" w:hAnsi="Arial" w:cs="Arial"/>
          <w:b/>
          <w:sz w:val="18"/>
          <w:szCs w:val="18"/>
        </w:rPr>
      </w:pPr>
    </w:p>
    <w:p w14:paraId="0CCAAC95" w14:textId="77777777" w:rsidR="001E1424" w:rsidRDefault="001E1424">
      <w:pPr>
        <w:rPr>
          <w:rFonts w:ascii="Arial" w:hAnsi="Arial" w:cs="Arial"/>
          <w:b/>
          <w:sz w:val="18"/>
          <w:szCs w:val="18"/>
        </w:rPr>
      </w:pPr>
    </w:p>
    <w:p w14:paraId="2200D40C" w14:textId="77777777" w:rsidR="00217AF9" w:rsidRDefault="00217AF9">
      <w:pPr>
        <w:rPr>
          <w:rFonts w:ascii="Arial" w:hAnsi="Arial" w:cs="Arial"/>
          <w:b/>
          <w:sz w:val="18"/>
          <w:szCs w:val="18"/>
        </w:rPr>
      </w:pPr>
    </w:p>
    <w:p w14:paraId="12C00B8B" w14:textId="5E0077F3" w:rsidR="00217AF9" w:rsidRPr="000978EC" w:rsidRDefault="000978EC">
      <w:pPr>
        <w:rPr>
          <w:rFonts w:ascii="Arial" w:hAnsi="Arial" w:cs="Arial"/>
          <w:iCs/>
          <w:sz w:val="14"/>
          <w:szCs w:val="14"/>
        </w:rPr>
      </w:pPr>
      <w:r w:rsidRPr="008A3847">
        <w:rPr>
          <w:rFonts w:ascii="Arial" w:hAnsi="Arial" w:cs="Arial"/>
          <w:iCs/>
          <w:sz w:val="14"/>
          <w:szCs w:val="14"/>
        </w:rPr>
        <w:lastRenderedPageBreak/>
        <w:t xml:space="preserve">Supplementary Table </w:t>
      </w:r>
      <w:r>
        <w:rPr>
          <w:rFonts w:ascii="Arial" w:hAnsi="Arial" w:cs="Arial"/>
          <w:iCs/>
          <w:sz w:val="14"/>
          <w:szCs w:val="14"/>
        </w:rPr>
        <w:t>3</w:t>
      </w:r>
      <w:r w:rsidRPr="008A3847">
        <w:rPr>
          <w:rFonts w:ascii="Arial" w:hAnsi="Arial" w:cs="Arial"/>
          <w:iCs/>
          <w:sz w:val="14"/>
          <w:szCs w:val="14"/>
        </w:rPr>
        <w:t>: Sensitivity of each assay for detection of viral loads ≥0.1 million (Ct &lt;25)</w:t>
      </w:r>
    </w:p>
    <w:p w14:paraId="29F8061A" w14:textId="77777777" w:rsidR="00217AF9" w:rsidRDefault="00217AF9">
      <w:pPr>
        <w:rPr>
          <w:rFonts w:ascii="Arial" w:hAnsi="Arial" w:cs="Arial"/>
          <w:b/>
          <w:sz w:val="18"/>
          <w:szCs w:val="18"/>
        </w:rPr>
      </w:pPr>
    </w:p>
    <w:tbl>
      <w:tblPr>
        <w:tblW w:w="4660" w:type="dxa"/>
        <w:tblLook w:val="04A0" w:firstRow="1" w:lastRow="0" w:firstColumn="1" w:lastColumn="0" w:noHBand="0" w:noVBand="1"/>
      </w:tblPr>
      <w:tblGrid>
        <w:gridCol w:w="1300"/>
        <w:gridCol w:w="1300"/>
        <w:gridCol w:w="2060"/>
      </w:tblGrid>
      <w:tr w:rsidR="008A3847" w:rsidRPr="008A3847" w14:paraId="10E8DE83" w14:textId="77777777" w:rsidTr="008A3847">
        <w:trPr>
          <w:trHeight w:val="200"/>
        </w:trPr>
        <w:tc>
          <w:tcPr>
            <w:tcW w:w="1300" w:type="dxa"/>
            <w:tcBorders>
              <w:top w:val="single" w:sz="8" w:space="0" w:color="auto"/>
              <w:left w:val="single" w:sz="8" w:space="0" w:color="auto"/>
              <w:bottom w:val="single" w:sz="8" w:space="0" w:color="auto"/>
              <w:right w:val="single" w:sz="4" w:space="0" w:color="auto"/>
            </w:tcBorders>
            <w:shd w:val="clear" w:color="000000" w:fill="C6C6C6"/>
            <w:noWrap/>
            <w:vAlign w:val="bottom"/>
            <w:hideMark/>
          </w:tcPr>
          <w:p w14:paraId="1035A800" w14:textId="3A1876A2" w:rsidR="008A3847" w:rsidRPr="008A3847" w:rsidRDefault="000978EC" w:rsidP="008A3847">
            <w:pPr>
              <w:rPr>
                <w:rFonts w:ascii="Calibri" w:hAnsi="Calibri" w:cs="Calibri"/>
                <w:color w:val="000000"/>
                <w:sz w:val="16"/>
                <w:szCs w:val="16"/>
              </w:rPr>
            </w:pPr>
            <w:r>
              <w:rPr>
                <w:rFonts w:ascii="Calibri" w:hAnsi="Calibri" w:cs="Calibri"/>
                <w:color w:val="000000"/>
                <w:sz w:val="16"/>
                <w:szCs w:val="16"/>
              </w:rPr>
              <w:t>LFD</w:t>
            </w:r>
          </w:p>
        </w:tc>
        <w:tc>
          <w:tcPr>
            <w:tcW w:w="1300" w:type="dxa"/>
            <w:tcBorders>
              <w:top w:val="single" w:sz="8" w:space="0" w:color="auto"/>
              <w:left w:val="nil"/>
              <w:bottom w:val="single" w:sz="8" w:space="0" w:color="auto"/>
              <w:right w:val="nil"/>
            </w:tcBorders>
            <w:shd w:val="clear" w:color="000000" w:fill="C6C6C6"/>
            <w:noWrap/>
            <w:vAlign w:val="bottom"/>
            <w:hideMark/>
          </w:tcPr>
          <w:p w14:paraId="757AC48A"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Evaluation</w:t>
            </w:r>
          </w:p>
        </w:tc>
        <w:tc>
          <w:tcPr>
            <w:tcW w:w="2060" w:type="dxa"/>
            <w:tcBorders>
              <w:top w:val="single" w:sz="8" w:space="0" w:color="auto"/>
              <w:left w:val="nil"/>
              <w:bottom w:val="single" w:sz="8" w:space="0" w:color="auto"/>
              <w:right w:val="single" w:sz="8" w:space="0" w:color="auto"/>
            </w:tcBorders>
            <w:shd w:val="clear" w:color="000000" w:fill="C6C6C6"/>
            <w:noWrap/>
            <w:vAlign w:val="bottom"/>
            <w:hideMark/>
          </w:tcPr>
          <w:p w14:paraId="01D2D959"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Sensitivity (95% CI)</w:t>
            </w:r>
          </w:p>
        </w:tc>
      </w:tr>
      <w:tr w:rsidR="008A3847" w:rsidRPr="008A3847" w14:paraId="6D651DA6" w14:textId="77777777" w:rsidTr="008A3847">
        <w:trPr>
          <w:trHeight w:val="200"/>
        </w:trPr>
        <w:tc>
          <w:tcPr>
            <w:tcW w:w="1300" w:type="dxa"/>
            <w:tcBorders>
              <w:top w:val="nil"/>
              <w:left w:val="single" w:sz="8" w:space="0" w:color="auto"/>
              <w:bottom w:val="nil"/>
              <w:right w:val="single" w:sz="4" w:space="0" w:color="auto"/>
            </w:tcBorders>
            <w:shd w:val="clear" w:color="auto" w:fill="auto"/>
            <w:noWrap/>
            <w:vAlign w:val="bottom"/>
            <w:hideMark/>
          </w:tcPr>
          <w:p w14:paraId="50ACFD64"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Innova</w:t>
            </w:r>
          </w:p>
        </w:tc>
        <w:tc>
          <w:tcPr>
            <w:tcW w:w="1300" w:type="dxa"/>
            <w:tcBorders>
              <w:top w:val="nil"/>
              <w:left w:val="nil"/>
              <w:bottom w:val="nil"/>
              <w:right w:val="nil"/>
            </w:tcBorders>
            <w:shd w:val="clear" w:color="auto" w:fill="auto"/>
            <w:noWrap/>
            <w:vAlign w:val="bottom"/>
            <w:hideMark/>
          </w:tcPr>
          <w:p w14:paraId="1781BFD8"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3a</w:t>
            </w:r>
          </w:p>
        </w:tc>
        <w:tc>
          <w:tcPr>
            <w:tcW w:w="2060" w:type="dxa"/>
            <w:tcBorders>
              <w:top w:val="nil"/>
              <w:left w:val="nil"/>
              <w:bottom w:val="nil"/>
              <w:right w:val="single" w:sz="8" w:space="0" w:color="auto"/>
            </w:tcBorders>
            <w:shd w:val="clear" w:color="auto" w:fill="auto"/>
            <w:noWrap/>
            <w:vAlign w:val="bottom"/>
            <w:hideMark/>
          </w:tcPr>
          <w:p w14:paraId="67A98520"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93.7 (84.5 – 98.2)</w:t>
            </w:r>
          </w:p>
        </w:tc>
      </w:tr>
      <w:tr w:rsidR="008A3847" w:rsidRPr="008A3847" w14:paraId="3A29CEBA" w14:textId="77777777" w:rsidTr="008A3847">
        <w:trPr>
          <w:trHeight w:val="2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5B2F6143"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 </w:t>
            </w:r>
          </w:p>
        </w:tc>
        <w:tc>
          <w:tcPr>
            <w:tcW w:w="1300" w:type="dxa"/>
            <w:tcBorders>
              <w:top w:val="nil"/>
              <w:left w:val="nil"/>
              <w:bottom w:val="single" w:sz="4" w:space="0" w:color="auto"/>
              <w:right w:val="nil"/>
            </w:tcBorders>
            <w:shd w:val="clear" w:color="auto" w:fill="auto"/>
            <w:noWrap/>
            <w:vAlign w:val="bottom"/>
            <w:hideMark/>
          </w:tcPr>
          <w:p w14:paraId="43B34033"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3b</w:t>
            </w:r>
          </w:p>
        </w:tc>
        <w:tc>
          <w:tcPr>
            <w:tcW w:w="2060" w:type="dxa"/>
            <w:tcBorders>
              <w:top w:val="nil"/>
              <w:left w:val="nil"/>
              <w:bottom w:val="single" w:sz="4" w:space="0" w:color="auto"/>
              <w:right w:val="single" w:sz="8" w:space="0" w:color="auto"/>
            </w:tcBorders>
            <w:shd w:val="clear" w:color="auto" w:fill="auto"/>
            <w:noWrap/>
            <w:vAlign w:val="bottom"/>
            <w:hideMark/>
          </w:tcPr>
          <w:p w14:paraId="4EB2BDD7"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97.6 (91.5 – 99.7)</w:t>
            </w:r>
          </w:p>
        </w:tc>
      </w:tr>
      <w:tr w:rsidR="008A3847" w:rsidRPr="008A3847" w14:paraId="43BE458E" w14:textId="77777777" w:rsidTr="008A3847">
        <w:trPr>
          <w:trHeight w:val="200"/>
        </w:trPr>
        <w:tc>
          <w:tcPr>
            <w:tcW w:w="1300" w:type="dxa"/>
            <w:tcBorders>
              <w:top w:val="nil"/>
              <w:left w:val="single" w:sz="8" w:space="0" w:color="auto"/>
              <w:bottom w:val="nil"/>
              <w:right w:val="single" w:sz="4" w:space="0" w:color="auto"/>
            </w:tcBorders>
            <w:shd w:val="clear" w:color="auto" w:fill="auto"/>
            <w:noWrap/>
            <w:vAlign w:val="bottom"/>
            <w:hideMark/>
          </w:tcPr>
          <w:p w14:paraId="70EC8571"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Abbott</w:t>
            </w:r>
          </w:p>
        </w:tc>
        <w:tc>
          <w:tcPr>
            <w:tcW w:w="1300" w:type="dxa"/>
            <w:tcBorders>
              <w:top w:val="nil"/>
              <w:left w:val="nil"/>
              <w:bottom w:val="nil"/>
              <w:right w:val="nil"/>
            </w:tcBorders>
            <w:shd w:val="clear" w:color="auto" w:fill="auto"/>
            <w:noWrap/>
            <w:vAlign w:val="bottom"/>
            <w:hideMark/>
          </w:tcPr>
          <w:p w14:paraId="3CC83204"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3a</w:t>
            </w:r>
          </w:p>
        </w:tc>
        <w:tc>
          <w:tcPr>
            <w:tcW w:w="2060" w:type="dxa"/>
            <w:tcBorders>
              <w:top w:val="nil"/>
              <w:left w:val="nil"/>
              <w:bottom w:val="nil"/>
              <w:right w:val="single" w:sz="8" w:space="0" w:color="auto"/>
            </w:tcBorders>
            <w:shd w:val="clear" w:color="auto" w:fill="auto"/>
            <w:noWrap/>
            <w:vAlign w:val="bottom"/>
            <w:hideMark/>
          </w:tcPr>
          <w:p w14:paraId="6733A7EE"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97.0 (89.5 – 99.6)</w:t>
            </w:r>
          </w:p>
        </w:tc>
      </w:tr>
      <w:tr w:rsidR="008A3847" w:rsidRPr="008A3847" w14:paraId="6C6083E4" w14:textId="77777777" w:rsidTr="008A3847">
        <w:trPr>
          <w:trHeight w:val="2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757F283B"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 </w:t>
            </w:r>
          </w:p>
        </w:tc>
        <w:tc>
          <w:tcPr>
            <w:tcW w:w="1300" w:type="dxa"/>
            <w:tcBorders>
              <w:top w:val="nil"/>
              <w:left w:val="nil"/>
              <w:bottom w:val="single" w:sz="4" w:space="0" w:color="auto"/>
              <w:right w:val="nil"/>
            </w:tcBorders>
            <w:shd w:val="clear" w:color="auto" w:fill="auto"/>
            <w:noWrap/>
            <w:vAlign w:val="bottom"/>
            <w:hideMark/>
          </w:tcPr>
          <w:p w14:paraId="2A3762DC"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3b</w:t>
            </w:r>
          </w:p>
        </w:tc>
        <w:tc>
          <w:tcPr>
            <w:tcW w:w="2060" w:type="dxa"/>
            <w:tcBorders>
              <w:top w:val="nil"/>
              <w:left w:val="nil"/>
              <w:bottom w:val="single" w:sz="4" w:space="0" w:color="auto"/>
              <w:right w:val="single" w:sz="8" w:space="0" w:color="auto"/>
            </w:tcBorders>
            <w:shd w:val="clear" w:color="auto" w:fill="auto"/>
            <w:noWrap/>
            <w:vAlign w:val="bottom"/>
            <w:hideMark/>
          </w:tcPr>
          <w:p w14:paraId="29D85C7A"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91.4 (76.9 – 98.2)</w:t>
            </w:r>
          </w:p>
        </w:tc>
      </w:tr>
      <w:tr w:rsidR="008A3847" w:rsidRPr="008A3847" w14:paraId="082E0583" w14:textId="77777777" w:rsidTr="008A3847">
        <w:trPr>
          <w:trHeight w:val="200"/>
        </w:trPr>
        <w:tc>
          <w:tcPr>
            <w:tcW w:w="1300" w:type="dxa"/>
            <w:tcBorders>
              <w:top w:val="nil"/>
              <w:left w:val="single" w:sz="8" w:space="0" w:color="auto"/>
              <w:bottom w:val="nil"/>
              <w:right w:val="single" w:sz="4" w:space="0" w:color="auto"/>
            </w:tcBorders>
            <w:shd w:val="clear" w:color="auto" w:fill="auto"/>
            <w:noWrap/>
            <w:vAlign w:val="bottom"/>
            <w:hideMark/>
          </w:tcPr>
          <w:p w14:paraId="4DB0BE49"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Orient Gene</w:t>
            </w:r>
          </w:p>
        </w:tc>
        <w:tc>
          <w:tcPr>
            <w:tcW w:w="1300" w:type="dxa"/>
            <w:tcBorders>
              <w:top w:val="nil"/>
              <w:left w:val="nil"/>
              <w:bottom w:val="nil"/>
              <w:right w:val="nil"/>
            </w:tcBorders>
            <w:shd w:val="clear" w:color="auto" w:fill="auto"/>
            <w:noWrap/>
            <w:vAlign w:val="bottom"/>
            <w:hideMark/>
          </w:tcPr>
          <w:p w14:paraId="1080C51F"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3a</w:t>
            </w:r>
          </w:p>
        </w:tc>
        <w:tc>
          <w:tcPr>
            <w:tcW w:w="2060" w:type="dxa"/>
            <w:tcBorders>
              <w:top w:val="nil"/>
              <w:left w:val="nil"/>
              <w:bottom w:val="nil"/>
              <w:right w:val="single" w:sz="8" w:space="0" w:color="auto"/>
            </w:tcBorders>
            <w:shd w:val="clear" w:color="auto" w:fill="auto"/>
            <w:noWrap/>
            <w:vAlign w:val="bottom"/>
            <w:hideMark/>
          </w:tcPr>
          <w:p w14:paraId="3716FE7E"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95.4 (87.1 – 99.0)</w:t>
            </w:r>
          </w:p>
        </w:tc>
      </w:tr>
      <w:tr w:rsidR="008A3847" w:rsidRPr="008A3847" w14:paraId="63558A0F" w14:textId="77777777" w:rsidTr="008A3847">
        <w:trPr>
          <w:trHeight w:val="2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68962EFB"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 </w:t>
            </w:r>
          </w:p>
        </w:tc>
        <w:tc>
          <w:tcPr>
            <w:tcW w:w="1300" w:type="dxa"/>
            <w:tcBorders>
              <w:top w:val="nil"/>
              <w:left w:val="nil"/>
              <w:bottom w:val="single" w:sz="4" w:space="0" w:color="auto"/>
              <w:right w:val="nil"/>
            </w:tcBorders>
            <w:shd w:val="clear" w:color="auto" w:fill="auto"/>
            <w:noWrap/>
            <w:vAlign w:val="bottom"/>
            <w:hideMark/>
          </w:tcPr>
          <w:p w14:paraId="64953C75"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3b</w:t>
            </w:r>
          </w:p>
        </w:tc>
        <w:tc>
          <w:tcPr>
            <w:tcW w:w="2060" w:type="dxa"/>
            <w:tcBorders>
              <w:top w:val="nil"/>
              <w:left w:val="nil"/>
              <w:bottom w:val="single" w:sz="4" w:space="0" w:color="auto"/>
              <w:right w:val="single" w:sz="8" w:space="0" w:color="auto"/>
            </w:tcBorders>
            <w:shd w:val="clear" w:color="auto" w:fill="auto"/>
            <w:noWrap/>
            <w:vAlign w:val="bottom"/>
            <w:hideMark/>
          </w:tcPr>
          <w:p w14:paraId="4C3D3636"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100.0 (90.0 – 100.0)</w:t>
            </w:r>
          </w:p>
        </w:tc>
      </w:tr>
      <w:tr w:rsidR="008A3847" w:rsidRPr="008A3847" w14:paraId="69C9EDA6" w14:textId="77777777" w:rsidTr="008A3847">
        <w:trPr>
          <w:trHeight w:val="200"/>
        </w:trPr>
        <w:tc>
          <w:tcPr>
            <w:tcW w:w="1300" w:type="dxa"/>
            <w:tcBorders>
              <w:top w:val="nil"/>
              <w:left w:val="single" w:sz="8" w:space="0" w:color="auto"/>
              <w:bottom w:val="nil"/>
              <w:right w:val="single" w:sz="4" w:space="0" w:color="auto"/>
            </w:tcBorders>
            <w:shd w:val="clear" w:color="auto" w:fill="auto"/>
            <w:noWrap/>
            <w:vAlign w:val="bottom"/>
            <w:hideMark/>
          </w:tcPr>
          <w:p w14:paraId="639E567C"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Deepblue</w:t>
            </w:r>
          </w:p>
        </w:tc>
        <w:tc>
          <w:tcPr>
            <w:tcW w:w="1300" w:type="dxa"/>
            <w:tcBorders>
              <w:top w:val="nil"/>
              <w:left w:val="nil"/>
              <w:bottom w:val="nil"/>
              <w:right w:val="nil"/>
            </w:tcBorders>
            <w:shd w:val="clear" w:color="auto" w:fill="auto"/>
            <w:noWrap/>
            <w:vAlign w:val="bottom"/>
            <w:hideMark/>
          </w:tcPr>
          <w:p w14:paraId="4C68C89C"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3a</w:t>
            </w:r>
          </w:p>
        </w:tc>
        <w:tc>
          <w:tcPr>
            <w:tcW w:w="2060" w:type="dxa"/>
            <w:tcBorders>
              <w:top w:val="nil"/>
              <w:left w:val="nil"/>
              <w:bottom w:val="nil"/>
              <w:right w:val="single" w:sz="8" w:space="0" w:color="auto"/>
            </w:tcBorders>
            <w:shd w:val="clear" w:color="auto" w:fill="auto"/>
            <w:noWrap/>
            <w:vAlign w:val="bottom"/>
            <w:hideMark/>
          </w:tcPr>
          <w:p w14:paraId="6AE4E249"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95.4 (87.3 – 99.0)</w:t>
            </w:r>
          </w:p>
        </w:tc>
      </w:tr>
      <w:tr w:rsidR="008A3847" w:rsidRPr="008A3847" w14:paraId="4BBD7AC2" w14:textId="77777777" w:rsidTr="008A3847">
        <w:trPr>
          <w:trHeight w:val="2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02AEDF23"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 </w:t>
            </w:r>
          </w:p>
        </w:tc>
        <w:tc>
          <w:tcPr>
            <w:tcW w:w="1300" w:type="dxa"/>
            <w:tcBorders>
              <w:top w:val="nil"/>
              <w:left w:val="nil"/>
              <w:bottom w:val="single" w:sz="4" w:space="0" w:color="auto"/>
              <w:right w:val="nil"/>
            </w:tcBorders>
            <w:shd w:val="clear" w:color="auto" w:fill="auto"/>
            <w:noWrap/>
            <w:vAlign w:val="bottom"/>
            <w:hideMark/>
          </w:tcPr>
          <w:p w14:paraId="09B2EF6D"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3b</w:t>
            </w:r>
          </w:p>
        </w:tc>
        <w:tc>
          <w:tcPr>
            <w:tcW w:w="2060" w:type="dxa"/>
            <w:tcBorders>
              <w:top w:val="nil"/>
              <w:left w:val="nil"/>
              <w:bottom w:val="single" w:sz="4" w:space="0" w:color="auto"/>
              <w:right w:val="single" w:sz="8" w:space="0" w:color="auto"/>
            </w:tcBorders>
            <w:shd w:val="clear" w:color="auto" w:fill="auto"/>
            <w:noWrap/>
            <w:vAlign w:val="bottom"/>
            <w:hideMark/>
          </w:tcPr>
          <w:p w14:paraId="3097D46F"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98.5 (91.8 – 100.0)</w:t>
            </w:r>
          </w:p>
        </w:tc>
      </w:tr>
      <w:tr w:rsidR="008A3847" w:rsidRPr="008A3847" w14:paraId="0856E879" w14:textId="77777777" w:rsidTr="008A3847">
        <w:trPr>
          <w:trHeight w:val="200"/>
        </w:trPr>
        <w:tc>
          <w:tcPr>
            <w:tcW w:w="1300" w:type="dxa"/>
            <w:tcBorders>
              <w:top w:val="nil"/>
              <w:left w:val="single" w:sz="8" w:space="0" w:color="auto"/>
              <w:bottom w:val="nil"/>
              <w:right w:val="single" w:sz="4" w:space="0" w:color="auto"/>
            </w:tcBorders>
            <w:shd w:val="clear" w:color="auto" w:fill="auto"/>
            <w:noWrap/>
            <w:vAlign w:val="bottom"/>
            <w:hideMark/>
          </w:tcPr>
          <w:p w14:paraId="3F1B4A44"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Fortress</w:t>
            </w:r>
          </w:p>
        </w:tc>
        <w:tc>
          <w:tcPr>
            <w:tcW w:w="1300" w:type="dxa"/>
            <w:tcBorders>
              <w:top w:val="nil"/>
              <w:left w:val="nil"/>
              <w:bottom w:val="nil"/>
              <w:right w:val="nil"/>
            </w:tcBorders>
            <w:shd w:val="clear" w:color="auto" w:fill="auto"/>
            <w:noWrap/>
            <w:vAlign w:val="bottom"/>
            <w:hideMark/>
          </w:tcPr>
          <w:p w14:paraId="14FCF683"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3a</w:t>
            </w:r>
          </w:p>
        </w:tc>
        <w:tc>
          <w:tcPr>
            <w:tcW w:w="2060" w:type="dxa"/>
            <w:tcBorders>
              <w:top w:val="nil"/>
              <w:left w:val="nil"/>
              <w:bottom w:val="nil"/>
              <w:right w:val="single" w:sz="8" w:space="0" w:color="auto"/>
            </w:tcBorders>
            <w:shd w:val="clear" w:color="auto" w:fill="auto"/>
            <w:noWrap/>
            <w:vAlign w:val="bottom"/>
            <w:hideMark/>
          </w:tcPr>
          <w:p w14:paraId="4789B0F8"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93.9 (85.2 – 98.3)</w:t>
            </w:r>
          </w:p>
        </w:tc>
      </w:tr>
      <w:tr w:rsidR="008A3847" w:rsidRPr="008A3847" w14:paraId="52B5E65D" w14:textId="77777777" w:rsidTr="008A3847">
        <w:trPr>
          <w:trHeight w:val="2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09211D49"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 </w:t>
            </w:r>
          </w:p>
        </w:tc>
        <w:tc>
          <w:tcPr>
            <w:tcW w:w="1300" w:type="dxa"/>
            <w:tcBorders>
              <w:top w:val="nil"/>
              <w:left w:val="nil"/>
              <w:bottom w:val="single" w:sz="4" w:space="0" w:color="auto"/>
              <w:right w:val="nil"/>
            </w:tcBorders>
            <w:shd w:val="clear" w:color="auto" w:fill="auto"/>
            <w:noWrap/>
            <w:vAlign w:val="bottom"/>
            <w:hideMark/>
          </w:tcPr>
          <w:p w14:paraId="566D3D41"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3b</w:t>
            </w:r>
          </w:p>
        </w:tc>
        <w:tc>
          <w:tcPr>
            <w:tcW w:w="2060" w:type="dxa"/>
            <w:tcBorders>
              <w:top w:val="nil"/>
              <w:left w:val="nil"/>
              <w:bottom w:val="single" w:sz="4" w:space="0" w:color="auto"/>
              <w:right w:val="single" w:sz="8" w:space="0" w:color="auto"/>
            </w:tcBorders>
            <w:shd w:val="clear" w:color="auto" w:fill="auto"/>
            <w:noWrap/>
            <w:vAlign w:val="bottom"/>
            <w:hideMark/>
          </w:tcPr>
          <w:p w14:paraId="37D3C83F"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not complete</w:t>
            </w:r>
          </w:p>
        </w:tc>
      </w:tr>
      <w:tr w:rsidR="008A3847" w:rsidRPr="008A3847" w14:paraId="3A1D7EAA" w14:textId="77777777" w:rsidTr="008A3847">
        <w:trPr>
          <w:trHeight w:val="200"/>
        </w:trPr>
        <w:tc>
          <w:tcPr>
            <w:tcW w:w="1300" w:type="dxa"/>
            <w:tcBorders>
              <w:top w:val="nil"/>
              <w:left w:val="single" w:sz="8" w:space="0" w:color="auto"/>
              <w:bottom w:val="nil"/>
              <w:right w:val="single" w:sz="4" w:space="0" w:color="auto"/>
            </w:tcBorders>
            <w:shd w:val="clear" w:color="auto" w:fill="auto"/>
            <w:noWrap/>
            <w:vAlign w:val="bottom"/>
            <w:hideMark/>
          </w:tcPr>
          <w:p w14:paraId="27535095"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SD Bioswab</w:t>
            </w:r>
          </w:p>
        </w:tc>
        <w:tc>
          <w:tcPr>
            <w:tcW w:w="1300" w:type="dxa"/>
            <w:tcBorders>
              <w:top w:val="nil"/>
              <w:left w:val="nil"/>
              <w:bottom w:val="nil"/>
              <w:right w:val="nil"/>
            </w:tcBorders>
            <w:shd w:val="clear" w:color="auto" w:fill="auto"/>
            <w:noWrap/>
            <w:vAlign w:val="bottom"/>
            <w:hideMark/>
          </w:tcPr>
          <w:p w14:paraId="424732F4"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3a</w:t>
            </w:r>
          </w:p>
        </w:tc>
        <w:tc>
          <w:tcPr>
            <w:tcW w:w="2060" w:type="dxa"/>
            <w:tcBorders>
              <w:top w:val="nil"/>
              <w:left w:val="nil"/>
              <w:bottom w:val="nil"/>
              <w:right w:val="single" w:sz="8" w:space="0" w:color="auto"/>
            </w:tcBorders>
            <w:shd w:val="clear" w:color="auto" w:fill="auto"/>
            <w:noWrap/>
            <w:vAlign w:val="bottom"/>
            <w:hideMark/>
          </w:tcPr>
          <w:p w14:paraId="407A97C7"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93.9 (85.2 – 98.3)</w:t>
            </w:r>
          </w:p>
        </w:tc>
      </w:tr>
      <w:tr w:rsidR="008A3847" w:rsidRPr="008A3847" w14:paraId="2C0F3EC3" w14:textId="77777777" w:rsidTr="008A3847">
        <w:trPr>
          <w:trHeight w:val="200"/>
        </w:trPr>
        <w:tc>
          <w:tcPr>
            <w:tcW w:w="1300" w:type="dxa"/>
            <w:tcBorders>
              <w:top w:val="nil"/>
              <w:left w:val="single" w:sz="8" w:space="0" w:color="auto"/>
              <w:bottom w:val="single" w:sz="4" w:space="0" w:color="auto"/>
              <w:right w:val="single" w:sz="4" w:space="0" w:color="auto"/>
            </w:tcBorders>
            <w:shd w:val="clear" w:color="auto" w:fill="auto"/>
            <w:noWrap/>
            <w:vAlign w:val="bottom"/>
            <w:hideMark/>
          </w:tcPr>
          <w:p w14:paraId="189123A4"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 </w:t>
            </w:r>
          </w:p>
        </w:tc>
        <w:tc>
          <w:tcPr>
            <w:tcW w:w="1300" w:type="dxa"/>
            <w:tcBorders>
              <w:top w:val="nil"/>
              <w:left w:val="nil"/>
              <w:bottom w:val="single" w:sz="4" w:space="0" w:color="auto"/>
              <w:right w:val="nil"/>
            </w:tcBorders>
            <w:shd w:val="clear" w:color="auto" w:fill="auto"/>
            <w:noWrap/>
            <w:vAlign w:val="bottom"/>
            <w:hideMark/>
          </w:tcPr>
          <w:p w14:paraId="131102ED"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 xml:space="preserve">3b </w:t>
            </w:r>
          </w:p>
        </w:tc>
        <w:tc>
          <w:tcPr>
            <w:tcW w:w="2060" w:type="dxa"/>
            <w:tcBorders>
              <w:top w:val="nil"/>
              <w:left w:val="nil"/>
              <w:bottom w:val="single" w:sz="4" w:space="0" w:color="auto"/>
              <w:right w:val="single" w:sz="8" w:space="0" w:color="auto"/>
            </w:tcBorders>
            <w:shd w:val="clear" w:color="auto" w:fill="auto"/>
            <w:noWrap/>
            <w:vAlign w:val="bottom"/>
            <w:hideMark/>
          </w:tcPr>
          <w:p w14:paraId="0EAA085B"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not complete</w:t>
            </w:r>
          </w:p>
        </w:tc>
      </w:tr>
      <w:tr w:rsidR="008A3847" w:rsidRPr="008A3847" w14:paraId="3C7201A7" w14:textId="77777777" w:rsidTr="008A3847">
        <w:trPr>
          <w:trHeight w:val="200"/>
        </w:trPr>
        <w:tc>
          <w:tcPr>
            <w:tcW w:w="1300" w:type="dxa"/>
            <w:tcBorders>
              <w:top w:val="nil"/>
              <w:left w:val="single" w:sz="8" w:space="0" w:color="auto"/>
              <w:bottom w:val="nil"/>
              <w:right w:val="single" w:sz="4" w:space="0" w:color="auto"/>
            </w:tcBorders>
            <w:shd w:val="clear" w:color="auto" w:fill="auto"/>
            <w:noWrap/>
            <w:vAlign w:val="bottom"/>
            <w:hideMark/>
          </w:tcPr>
          <w:p w14:paraId="5FE77F0D"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Surescreen</w:t>
            </w:r>
          </w:p>
        </w:tc>
        <w:tc>
          <w:tcPr>
            <w:tcW w:w="1300" w:type="dxa"/>
            <w:tcBorders>
              <w:top w:val="nil"/>
              <w:left w:val="nil"/>
              <w:bottom w:val="nil"/>
              <w:right w:val="nil"/>
            </w:tcBorders>
            <w:shd w:val="clear" w:color="auto" w:fill="auto"/>
            <w:noWrap/>
            <w:vAlign w:val="bottom"/>
            <w:hideMark/>
          </w:tcPr>
          <w:p w14:paraId="4F02091D"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3a</w:t>
            </w:r>
          </w:p>
        </w:tc>
        <w:tc>
          <w:tcPr>
            <w:tcW w:w="2060" w:type="dxa"/>
            <w:tcBorders>
              <w:top w:val="nil"/>
              <w:left w:val="nil"/>
              <w:bottom w:val="nil"/>
              <w:right w:val="single" w:sz="8" w:space="0" w:color="auto"/>
            </w:tcBorders>
            <w:shd w:val="clear" w:color="auto" w:fill="auto"/>
            <w:noWrap/>
            <w:vAlign w:val="bottom"/>
            <w:hideMark/>
          </w:tcPr>
          <w:p w14:paraId="1C246CE3"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98.5 (91.7 – 100.0)</w:t>
            </w:r>
          </w:p>
        </w:tc>
      </w:tr>
      <w:tr w:rsidR="008A3847" w:rsidRPr="008A3847" w14:paraId="1E1C620E" w14:textId="77777777" w:rsidTr="008A3847">
        <w:trPr>
          <w:trHeight w:val="200"/>
        </w:trPr>
        <w:tc>
          <w:tcPr>
            <w:tcW w:w="1300" w:type="dxa"/>
            <w:tcBorders>
              <w:top w:val="nil"/>
              <w:left w:val="single" w:sz="8" w:space="0" w:color="auto"/>
              <w:bottom w:val="single" w:sz="8" w:space="0" w:color="auto"/>
              <w:right w:val="single" w:sz="4" w:space="0" w:color="auto"/>
            </w:tcBorders>
            <w:shd w:val="clear" w:color="auto" w:fill="auto"/>
            <w:noWrap/>
            <w:vAlign w:val="bottom"/>
            <w:hideMark/>
          </w:tcPr>
          <w:p w14:paraId="7CB63E8D"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 </w:t>
            </w:r>
          </w:p>
        </w:tc>
        <w:tc>
          <w:tcPr>
            <w:tcW w:w="1300" w:type="dxa"/>
            <w:tcBorders>
              <w:top w:val="nil"/>
              <w:left w:val="nil"/>
              <w:bottom w:val="single" w:sz="8" w:space="0" w:color="auto"/>
              <w:right w:val="nil"/>
            </w:tcBorders>
            <w:shd w:val="clear" w:color="auto" w:fill="auto"/>
            <w:noWrap/>
            <w:vAlign w:val="bottom"/>
            <w:hideMark/>
          </w:tcPr>
          <w:p w14:paraId="768AB416"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3b</w:t>
            </w:r>
          </w:p>
        </w:tc>
        <w:tc>
          <w:tcPr>
            <w:tcW w:w="2060" w:type="dxa"/>
            <w:tcBorders>
              <w:top w:val="nil"/>
              <w:left w:val="nil"/>
              <w:bottom w:val="single" w:sz="8" w:space="0" w:color="auto"/>
              <w:right w:val="single" w:sz="8" w:space="0" w:color="auto"/>
            </w:tcBorders>
            <w:shd w:val="clear" w:color="auto" w:fill="auto"/>
            <w:noWrap/>
            <w:vAlign w:val="bottom"/>
            <w:hideMark/>
          </w:tcPr>
          <w:p w14:paraId="422B9C6A" w14:textId="77777777" w:rsidR="008A3847" w:rsidRPr="008A3847" w:rsidRDefault="008A3847" w:rsidP="008A3847">
            <w:pPr>
              <w:rPr>
                <w:rFonts w:ascii="Calibri" w:hAnsi="Calibri" w:cs="Calibri"/>
                <w:color w:val="000000"/>
                <w:sz w:val="16"/>
                <w:szCs w:val="16"/>
              </w:rPr>
            </w:pPr>
            <w:r w:rsidRPr="008A3847">
              <w:rPr>
                <w:rFonts w:ascii="Calibri" w:hAnsi="Calibri" w:cs="Calibri"/>
                <w:color w:val="000000"/>
                <w:sz w:val="16"/>
                <w:szCs w:val="16"/>
              </w:rPr>
              <w:t>not complete</w:t>
            </w:r>
          </w:p>
        </w:tc>
      </w:tr>
    </w:tbl>
    <w:p w14:paraId="7165183B" w14:textId="77777777" w:rsidR="00217AF9" w:rsidRPr="008A3847" w:rsidRDefault="00217AF9">
      <w:pPr>
        <w:rPr>
          <w:rFonts w:ascii="Arial" w:hAnsi="Arial" w:cs="Arial"/>
          <w:sz w:val="14"/>
          <w:szCs w:val="14"/>
        </w:rPr>
      </w:pPr>
    </w:p>
    <w:p w14:paraId="41500665" w14:textId="77777777" w:rsidR="00217AF9" w:rsidRDefault="00217AF9">
      <w:pPr>
        <w:rPr>
          <w:rFonts w:ascii="Arial" w:hAnsi="Arial" w:cs="Arial"/>
          <w:b/>
          <w:sz w:val="18"/>
          <w:szCs w:val="18"/>
        </w:rPr>
      </w:pPr>
    </w:p>
    <w:p w14:paraId="72C84BA2" w14:textId="77777777" w:rsidR="00217AF9" w:rsidRDefault="00217AF9">
      <w:pPr>
        <w:rPr>
          <w:rFonts w:ascii="Arial" w:hAnsi="Arial" w:cs="Arial"/>
          <w:b/>
          <w:sz w:val="18"/>
          <w:szCs w:val="18"/>
        </w:rPr>
      </w:pPr>
    </w:p>
    <w:p w14:paraId="485AED9F" w14:textId="77777777" w:rsidR="009F2006" w:rsidRDefault="009F2006">
      <w:pPr>
        <w:rPr>
          <w:rFonts w:ascii="Arial" w:hAnsi="Arial" w:cs="Arial"/>
          <w:b/>
          <w:sz w:val="18"/>
          <w:szCs w:val="18"/>
        </w:rPr>
      </w:pPr>
      <w:r>
        <w:rPr>
          <w:rFonts w:ascii="Arial" w:hAnsi="Arial" w:cs="Arial"/>
          <w:b/>
          <w:sz w:val="18"/>
          <w:szCs w:val="18"/>
        </w:rPr>
        <w:br w:type="page"/>
      </w:r>
    </w:p>
    <w:p w14:paraId="7550563E" w14:textId="13B95768" w:rsidR="005B342D" w:rsidRDefault="005B342D">
      <w:pPr>
        <w:rPr>
          <w:rFonts w:ascii="Arial" w:hAnsi="Arial" w:cs="Arial"/>
          <w:b/>
          <w:sz w:val="18"/>
          <w:szCs w:val="18"/>
        </w:rPr>
      </w:pPr>
      <w:r>
        <w:rPr>
          <w:rFonts w:ascii="Arial" w:hAnsi="Arial" w:cs="Arial"/>
          <w:b/>
          <w:sz w:val="18"/>
          <w:szCs w:val="18"/>
        </w:rPr>
        <w:lastRenderedPageBreak/>
        <w:t>Supplementary figures</w:t>
      </w:r>
    </w:p>
    <w:p w14:paraId="53B5BD03" w14:textId="77777777" w:rsidR="005B342D" w:rsidRDefault="005B342D">
      <w:pPr>
        <w:rPr>
          <w:rFonts w:ascii="Arial" w:hAnsi="Arial" w:cs="Arial"/>
          <w:b/>
          <w:sz w:val="18"/>
          <w:szCs w:val="18"/>
        </w:rPr>
      </w:pPr>
    </w:p>
    <w:p w14:paraId="1C2C2A37" w14:textId="7D559445" w:rsidR="005B342D" w:rsidRDefault="002F1FBB">
      <w:pPr>
        <w:rPr>
          <w:rFonts w:ascii="Arial" w:hAnsi="Arial" w:cs="Arial"/>
          <w:b/>
          <w:sz w:val="18"/>
          <w:szCs w:val="18"/>
        </w:rPr>
      </w:pPr>
      <w:r>
        <w:rPr>
          <w:rFonts w:ascii="Arial" w:hAnsi="Arial" w:cs="Arial"/>
          <w:b/>
          <w:noProof/>
          <w:sz w:val="18"/>
          <w:szCs w:val="18"/>
        </w:rPr>
        <w:drawing>
          <wp:inline distT="0" distB="0" distL="0" distR="0" wp14:anchorId="57261AF8" wp14:editId="07580780">
            <wp:extent cx="5727700" cy="3413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1-11 at 08.43.37.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3413125"/>
                    </a:xfrm>
                    <a:prstGeom prst="rect">
                      <a:avLst/>
                    </a:prstGeom>
                  </pic:spPr>
                </pic:pic>
              </a:graphicData>
            </a:graphic>
          </wp:inline>
        </w:drawing>
      </w:r>
    </w:p>
    <w:p w14:paraId="6891CD85" w14:textId="2F166BBF" w:rsidR="00EF1C4C" w:rsidRDefault="005B342D">
      <w:pPr>
        <w:rPr>
          <w:rFonts w:ascii="Arial" w:hAnsi="Arial" w:cs="Arial"/>
          <w:sz w:val="18"/>
          <w:szCs w:val="18"/>
        </w:rPr>
      </w:pPr>
      <w:r>
        <w:rPr>
          <w:rFonts w:ascii="Arial" w:hAnsi="Arial" w:cs="Arial"/>
          <w:sz w:val="18"/>
          <w:szCs w:val="18"/>
        </w:rPr>
        <w:t xml:space="preserve">Supplementary figure 1. Sensitivity of LFDs from phase 3b evaluations using dry swabs on Innova, Abbot, Orient gene and Deepblue performed by clinical laboratory personnel. </w:t>
      </w:r>
    </w:p>
    <w:p w14:paraId="0A3048DE" w14:textId="79683540" w:rsidR="00D55512" w:rsidRDefault="00D55512">
      <w:pPr>
        <w:rPr>
          <w:rFonts w:ascii="Arial" w:hAnsi="Arial" w:cs="Arial"/>
          <w:sz w:val="18"/>
          <w:szCs w:val="18"/>
        </w:rPr>
      </w:pPr>
    </w:p>
    <w:p w14:paraId="2DCFD8D4" w14:textId="19BE0B2B" w:rsidR="00D55512" w:rsidRDefault="00D55512">
      <w:pPr>
        <w:rPr>
          <w:rFonts w:ascii="Arial" w:hAnsi="Arial" w:cs="Arial"/>
          <w:sz w:val="18"/>
          <w:szCs w:val="18"/>
        </w:rPr>
      </w:pPr>
    </w:p>
    <w:p w14:paraId="2ABF3568" w14:textId="0470A6E2" w:rsidR="00D55512" w:rsidRDefault="00D55512">
      <w:pPr>
        <w:rPr>
          <w:rFonts w:ascii="Arial" w:hAnsi="Arial" w:cs="Arial"/>
          <w:sz w:val="18"/>
          <w:szCs w:val="18"/>
        </w:rPr>
      </w:pPr>
    </w:p>
    <w:p w14:paraId="70BEE63E" w14:textId="77777777" w:rsidR="00D55512" w:rsidRDefault="00D55512">
      <w:pPr>
        <w:rPr>
          <w:rFonts w:ascii="Arial" w:hAnsi="Arial" w:cs="Arial"/>
          <w:sz w:val="18"/>
          <w:szCs w:val="18"/>
        </w:rPr>
      </w:pPr>
    </w:p>
    <w:p w14:paraId="09E825D8" w14:textId="32E1495B" w:rsidR="00EF1C4C" w:rsidRDefault="00CA69D8">
      <w:pPr>
        <w:rPr>
          <w:rFonts w:ascii="Arial" w:hAnsi="Arial" w:cs="Arial"/>
          <w:sz w:val="18"/>
          <w:szCs w:val="18"/>
        </w:rPr>
      </w:pPr>
      <w:r>
        <w:rPr>
          <w:rFonts w:ascii="Arial" w:hAnsi="Arial" w:cs="Arial"/>
          <w:sz w:val="18"/>
          <w:szCs w:val="18"/>
        </w:rPr>
        <w:t>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B</w:t>
      </w:r>
    </w:p>
    <w:p w14:paraId="07E76295" w14:textId="77777777" w:rsidR="00D55512" w:rsidRDefault="00D55512" w:rsidP="00D55512">
      <w:pPr>
        <w:jc w:val="both"/>
        <w:rPr>
          <w:rFonts w:ascii="Arial" w:hAnsi="Arial" w:cs="Arial"/>
          <w:i/>
          <w:iCs/>
          <w:color w:val="000000"/>
          <w:sz w:val="14"/>
          <w:szCs w:val="14"/>
        </w:rPr>
      </w:pPr>
      <w:r w:rsidRPr="00326346">
        <w:rPr>
          <w:rFonts w:ascii="Arial" w:hAnsi="Arial" w:cs="Arial"/>
          <w:i/>
          <w:iCs/>
          <w:noProof/>
          <w:color w:val="000000"/>
          <w:sz w:val="14"/>
          <w:szCs w:val="14"/>
          <w:lang w:val="en-US"/>
        </w:rPr>
        <w:drawing>
          <wp:inline distT="0" distB="0" distL="0" distR="0" wp14:anchorId="2B4EFBA1" wp14:editId="10180B0F">
            <wp:extent cx="2597285" cy="1731523"/>
            <wp:effectExtent l="0" t="0" r="0" b="0"/>
            <wp:docPr id="3" name="Picture 3" descr="Macintosh HD:Users:nicolestoesser:Downloads:manal_data:lfd_paper_fig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estoesser:Downloads:manal_data:lfd_paper_fig_1.pd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262" t="13182" r="11506" b="50433"/>
                    <a:stretch/>
                  </pic:blipFill>
                  <pic:spPr bwMode="auto">
                    <a:xfrm>
                      <a:off x="0" y="0"/>
                      <a:ext cx="2606527" cy="1737684"/>
                    </a:xfrm>
                    <a:prstGeom prst="rect">
                      <a:avLst/>
                    </a:prstGeom>
                    <a:noFill/>
                    <a:ln>
                      <a:noFill/>
                    </a:ln>
                    <a:extLst>
                      <a:ext uri="{53640926-AAD7-44D8-BBD7-CCE9431645EC}">
                        <a14:shadowObscured xmlns:a14="http://schemas.microsoft.com/office/drawing/2010/main"/>
                      </a:ext>
                      <a:ext uri="{53640926-AAD7-44d8-BBD7-CCE9431645EC}">
                        <a14:shadowObscured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326346">
        <w:rPr>
          <w:rFonts w:ascii="Arial" w:hAnsi="Arial" w:cs="Arial"/>
          <w:i/>
          <w:iCs/>
          <w:noProof/>
          <w:color w:val="000000"/>
          <w:sz w:val="14"/>
          <w:szCs w:val="14"/>
          <w:lang w:val="en-US"/>
        </w:rPr>
        <w:drawing>
          <wp:inline distT="0" distB="0" distL="0" distR="0" wp14:anchorId="056D0170" wp14:editId="3D6D21CC">
            <wp:extent cx="2593491" cy="1617193"/>
            <wp:effectExtent l="0" t="0" r="0" b="0"/>
            <wp:docPr id="6" name="Picture 6" descr="Macintosh HD:Users:nicolestoesser:Downloads:manal_data:lfd_paper_fig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estoesser:Downloads:manal_data:lfd_paper_fig_1.pd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262" t="53778" r="11586" b="12224"/>
                    <a:stretch/>
                  </pic:blipFill>
                  <pic:spPr bwMode="auto">
                    <a:xfrm>
                      <a:off x="0" y="0"/>
                      <a:ext cx="2603842" cy="1623647"/>
                    </a:xfrm>
                    <a:prstGeom prst="rect">
                      <a:avLst/>
                    </a:prstGeom>
                    <a:noFill/>
                    <a:ln>
                      <a:noFill/>
                    </a:ln>
                    <a:extLst>
                      <a:ext uri="{53640926-AAD7-44D8-BBD7-CCE9431645EC}">
                        <a14:shadowObscured xmlns:a14="http://schemas.microsoft.com/office/drawing/2010/main"/>
                      </a:ext>
                      <a:ext uri="{53640926-AAD7-44d8-BBD7-CCE9431645EC}">
                        <a14:shadowObscured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BDAD38" w14:textId="77777777" w:rsidR="00D55512" w:rsidRPr="00D55512" w:rsidRDefault="00D55512" w:rsidP="00D55512">
      <w:pPr>
        <w:jc w:val="both"/>
        <w:rPr>
          <w:sz w:val="18"/>
          <w:szCs w:val="18"/>
        </w:rPr>
      </w:pPr>
    </w:p>
    <w:p w14:paraId="51AB14EF" w14:textId="3415244C" w:rsidR="00D55512" w:rsidRDefault="00D55512" w:rsidP="00D55512">
      <w:pPr>
        <w:jc w:val="both"/>
        <w:rPr>
          <w:rFonts w:ascii="Arial" w:hAnsi="Arial" w:cs="Arial"/>
          <w:iCs/>
          <w:color w:val="000000"/>
          <w:sz w:val="18"/>
          <w:szCs w:val="18"/>
        </w:rPr>
      </w:pPr>
      <w:r w:rsidRPr="00D55512">
        <w:rPr>
          <w:rFonts w:ascii="Arial" w:hAnsi="Arial" w:cs="Arial"/>
          <w:iCs/>
          <w:color w:val="000000"/>
          <w:sz w:val="18"/>
          <w:szCs w:val="18"/>
        </w:rPr>
        <w:t>Supplementary Figure 2</w:t>
      </w:r>
      <w:r w:rsidR="00CA69D8">
        <w:rPr>
          <w:rFonts w:ascii="Arial" w:hAnsi="Arial" w:cs="Arial"/>
          <w:iCs/>
          <w:color w:val="000000"/>
          <w:sz w:val="18"/>
          <w:szCs w:val="18"/>
        </w:rPr>
        <w:t>a</w:t>
      </w:r>
      <w:r w:rsidRPr="00D55512">
        <w:rPr>
          <w:rFonts w:ascii="Arial" w:hAnsi="Arial" w:cs="Arial"/>
          <w:iCs/>
          <w:color w:val="000000"/>
          <w:sz w:val="18"/>
          <w:szCs w:val="18"/>
        </w:rPr>
        <w:t>. Association between viral antigen detection and viral load (RNA copies/ml and CT) in phase 3b evaluation for swabs taken in VTM when performed by</w:t>
      </w:r>
      <w:r w:rsidR="001732D1">
        <w:rPr>
          <w:rFonts w:ascii="Arial" w:hAnsi="Arial" w:cs="Arial"/>
          <w:iCs/>
          <w:color w:val="000000"/>
          <w:sz w:val="18"/>
          <w:szCs w:val="18"/>
        </w:rPr>
        <w:t xml:space="preserve"> trained</w:t>
      </w:r>
      <w:r w:rsidRPr="00D55512">
        <w:rPr>
          <w:rFonts w:ascii="Arial" w:hAnsi="Arial" w:cs="Arial"/>
          <w:iCs/>
          <w:color w:val="000000"/>
          <w:sz w:val="18"/>
          <w:szCs w:val="18"/>
        </w:rPr>
        <w:t xml:space="preserve"> </w:t>
      </w:r>
      <w:r w:rsidR="0065507C">
        <w:rPr>
          <w:rFonts w:ascii="Arial" w:hAnsi="Arial" w:cs="Arial"/>
          <w:iCs/>
          <w:color w:val="000000"/>
          <w:sz w:val="18"/>
          <w:szCs w:val="18"/>
        </w:rPr>
        <w:t>laboratory</w:t>
      </w:r>
      <w:r w:rsidRPr="00D55512">
        <w:rPr>
          <w:rFonts w:ascii="Arial" w:hAnsi="Arial" w:cs="Arial"/>
          <w:iCs/>
          <w:color w:val="000000"/>
          <w:sz w:val="18"/>
          <w:szCs w:val="18"/>
        </w:rPr>
        <w:t xml:space="preserve"> scientists and trained healthcare workers</w:t>
      </w:r>
      <w:r w:rsidR="00CA69D8">
        <w:rPr>
          <w:rFonts w:ascii="Arial" w:hAnsi="Arial" w:cs="Arial"/>
          <w:iCs/>
          <w:color w:val="000000"/>
          <w:sz w:val="18"/>
          <w:szCs w:val="18"/>
        </w:rPr>
        <w:t xml:space="preserve"> using the Innova test</w:t>
      </w:r>
      <w:r w:rsidRPr="00D55512">
        <w:rPr>
          <w:rFonts w:ascii="Arial" w:hAnsi="Arial" w:cs="Arial"/>
          <w:iCs/>
          <w:color w:val="000000"/>
          <w:sz w:val="18"/>
          <w:szCs w:val="18"/>
        </w:rPr>
        <w:t xml:space="preserve">. </w:t>
      </w:r>
      <w:r w:rsidR="00CA69D8">
        <w:rPr>
          <w:rFonts w:ascii="Arial" w:hAnsi="Arial" w:cs="Arial"/>
          <w:iCs/>
          <w:color w:val="000000"/>
          <w:sz w:val="18"/>
          <w:szCs w:val="18"/>
        </w:rPr>
        <w:t>2b</w:t>
      </w:r>
      <w:r w:rsidRPr="00D55512">
        <w:rPr>
          <w:rFonts w:ascii="Arial" w:hAnsi="Arial" w:cs="Arial"/>
          <w:iCs/>
          <w:color w:val="000000"/>
          <w:sz w:val="18"/>
          <w:szCs w:val="18"/>
        </w:rPr>
        <w:t xml:space="preserve"> </w:t>
      </w:r>
      <w:r w:rsidR="00CA69D8">
        <w:rPr>
          <w:rFonts w:ascii="Arial" w:hAnsi="Arial" w:cs="Arial"/>
          <w:iCs/>
          <w:color w:val="000000"/>
          <w:sz w:val="18"/>
          <w:szCs w:val="18"/>
        </w:rPr>
        <w:t>M</w:t>
      </w:r>
      <w:r w:rsidRPr="00D55512">
        <w:rPr>
          <w:rFonts w:ascii="Arial" w:hAnsi="Arial" w:cs="Arial"/>
          <w:iCs/>
          <w:color w:val="000000"/>
          <w:sz w:val="18"/>
          <w:szCs w:val="18"/>
        </w:rPr>
        <w:t>odelled probabilities for a positive Innova LFD result at a given log(10) viral load estimate</w:t>
      </w:r>
    </w:p>
    <w:p w14:paraId="2A1E40AB" w14:textId="65A3976B" w:rsidR="00B41892" w:rsidRDefault="00B41892" w:rsidP="00D55512">
      <w:pPr>
        <w:jc w:val="both"/>
        <w:rPr>
          <w:rFonts w:ascii="Arial" w:hAnsi="Arial" w:cs="Arial"/>
          <w:iCs/>
          <w:color w:val="000000"/>
          <w:sz w:val="18"/>
          <w:szCs w:val="18"/>
        </w:rPr>
      </w:pPr>
    </w:p>
    <w:p w14:paraId="4FF4BFA8" w14:textId="480FF046" w:rsidR="00B41892" w:rsidRPr="00D55512" w:rsidRDefault="00B41892" w:rsidP="00D55512">
      <w:pPr>
        <w:jc w:val="both"/>
        <w:rPr>
          <w:rFonts w:ascii="Arial" w:hAnsi="Arial" w:cs="Arial"/>
          <w:iCs/>
          <w:color w:val="000000"/>
          <w:sz w:val="18"/>
          <w:szCs w:val="18"/>
        </w:rPr>
      </w:pPr>
    </w:p>
    <w:p w14:paraId="4311A4D6" w14:textId="77FCD33B" w:rsidR="00A85830" w:rsidRPr="00D33CED" w:rsidRDefault="005B342D" w:rsidP="00D33CED">
      <w:pPr>
        <w:rPr>
          <w:rFonts w:ascii="Arial" w:hAnsi="Arial" w:cs="Arial"/>
          <w:sz w:val="18"/>
          <w:szCs w:val="18"/>
        </w:rPr>
      </w:pPr>
      <w:r w:rsidRPr="00D55512">
        <w:rPr>
          <w:rFonts w:ascii="Arial" w:hAnsi="Arial" w:cs="Arial"/>
          <w:sz w:val="18"/>
          <w:szCs w:val="18"/>
        </w:rPr>
        <w:br w:type="page"/>
      </w:r>
      <w:r w:rsidR="00A85830" w:rsidRPr="00A85830">
        <w:rPr>
          <w:rFonts w:ascii="Arial" w:hAnsi="Arial" w:cs="Arial"/>
          <w:b/>
          <w:sz w:val="18"/>
          <w:szCs w:val="18"/>
          <w:u w:val="single"/>
        </w:rPr>
        <w:lastRenderedPageBreak/>
        <w:t>Authorship</w:t>
      </w:r>
    </w:p>
    <w:p w14:paraId="6ED6AFBE" w14:textId="77777777" w:rsidR="003A1378" w:rsidRPr="00A85830" w:rsidRDefault="003A1378" w:rsidP="003A1378">
      <w:pPr>
        <w:jc w:val="both"/>
        <w:rPr>
          <w:rFonts w:ascii="Arial" w:hAnsi="Arial" w:cs="Arial"/>
          <w:b/>
          <w:sz w:val="18"/>
          <w:szCs w:val="18"/>
          <w:u w:val="single"/>
        </w:rPr>
      </w:pPr>
    </w:p>
    <w:p w14:paraId="7A1EC505" w14:textId="1786E3D6" w:rsidR="00A85830" w:rsidRDefault="00A85830" w:rsidP="003A1378">
      <w:pPr>
        <w:jc w:val="both"/>
        <w:rPr>
          <w:rFonts w:ascii="Arial" w:hAnsi="Arial" w:cs="Arial"/>
          <w:sz w:val="18"/>
          <w:szCs w:val="18"/>
        </w:rPr>
      </w:pPr>
      <w:r>
        <w:rPr>
          <w:rFonts w:ascii="Arial" w:hAnsi="Arial" w:cs="Arial"/>
          <w:sz w:val="18"/>
          <w:szCs w:val="18"/>
        </w:rPr>
        <w:t>This manuscript was prepared by the writing committee and review</w:t>
      </w:r>
      <w:r>
        <w:rPr>
          <w:rFonts w:ascii="Arial" w:hAnsi="Arial" w:cs="Arial"/>
          <w:sz w:val="18"/>
          <w:szCs w:val="18"/>
        </w:rPr>
        <w:softHyphen/>
        <w:t xml:space="preserve">ed and approved by all members of the UK COVID-19 lateral flow oversight group. </w:t>
      </w:r>
    </w:p>
    <w:p w14:paraId="158EF16F" w14:textId="27D0E919" w:rsidR="00A85830" w:rsidRDefault="00A85830" w:rsidP="003A1378">
      <w:pPr>
        <w:jc w:val="both"/>
        <w:rPr>
          <w:rFonts w:ascii="Arial" w:hAnsi="Arial" w:cs="Arial"/>
          <w:sz w:val="18"/>
          <w:szCs w:val="18"/>
        </w:rPr>
      </w:pPr>
    </w:p>
    <w:p w14:paraId="148B1949" w14:textId="3755B7A6" w:rsidR="00A85830" w:rsidRDefault="00A85830" w:rsidP="003A1378">
      <w:pPr>
        <w:jc w:val="both"/>
        <w:rPr>
          <w:rFonts w:ascii="Arial" w:hAnsi="Arial" w:cs="Arial"/>
          <w:sz w:val="18"/>
          <w:szCs w:val="18"/>
        </w:rPr>
      </w:pPr>
    </w:p>
    <w:p w14:paraId="47867275" w14:textId="417114F5" w:rsidR="003A1378" w:rsidRPr="003A1378" w:rsidRDefault="00A85830" w:rsidP="003A1378">
      <w:pPr>
        <w:jc w:val="both"/>
        <w:rPr>
          <w:rFonts w:ascii="Arial" w:hAnsi="Arial" w:cs="Arial"/>
          <w:b/>
          <w:sz w:val="18"/>
          <w:szCs w:val="18"/>
          <w:u w:val="single"/>
        </w:rPr>
      </w:pPr>
      <w:r w:rsidRPr="00A85830">
        <w:rPr>
          <w:rFonts w:ascii="Arial" w:hAnsi="Arial" w:cs="Arial"/>
          <w:b/>
          <w:sz w:val="18"/>
          <w:szCs w:val="18"/>
          <w:u w:val="single"/>
        </w:rPr>
        <w:t>Writing Committee (on behalf of the UK COVID-19 lateral flow oversight group)</w:t>
      </w:r>
    </w:p>
    <w:p w14:paraId="2AA74E42" w14:textId="0DC05B83" w:rsidR="00A85830" w:rsidRDefault="00A85830" w:rsidP="003A1378">
      <w:pPr>
        <w:jc w:val="both"/>
        <w:rPr>
          <w:rFonts w:ascii="Arial" w:hAnsi="Arial" w:cs="Arial"/>
          <w:sz w:val="18"/>
          <w:szCs w:val="18"/>
        </w:rPr>
      </w:pPr>
      <w:r>
        <w:rPr>
          <w:rFonts w:ascii="Arial" w:hAnsi="Arial" w:cs="Arial"/>
          <w:sz w:val="18"/>
          <w:szCs w:val="18"/>
        </w:rPr>
        <w:t>Lennard YW Lee, David Eyre, Philip</w:t>
      </w:r>
      <w:r w:rsidR="00037512">
        <w:rPr>
          <w:rFonts w:ascii="Arial" w:hAnsi="Arial" w:cs="Arial"/>
          <w:sz w:val="18"/>
          <w:szCs w:val="18"/>
        </w:rPr>
        <w:t>p</w:t>
      </w:r>
      <w:r>
        <w:rPr>
          <w:rFonts w:ascii="Arial" w:hAnsi="Arial" w:cs="Arial"/>
          <w:sz w:val="18"/>
          <w:szCs w:val="18"/>
        </w:rPr>
        <w:t xml:space="preserve">a Matthews, Nicole Stoesser, </w:t>
      </w:r>
      <w:r w:rsidR="00707376">
        <w:rPr>
          <w:rFonts w:ascii="Arial" w:hAnsi="Arial" w:cs="Arial"/>
          <w:sz w:val="18"/>
          <w:szCs w:val="18"/>
        </w:rPr>
        <w:t xml:space="preserve">Abbie Bown, </w:t>
      </w:r>
      <w:r w:rsidR="00C42DE5">
        <w:rPr>
          <w:rFonts w:ascii="Arial" w:hAnsi="Arial" w:cs="Arial"/>
          <w:sz w:val="18"/>
          <w:szCs w:val="18"/>
        </w:rPr>
        <w:t xml:space="preserve">Richard Body, </w:t>
      </w:r>
      <w:r>
        <w:rPr>
          <w:rFonts w:ascii="Arial" w:hAnsi="Arial" w:cs="Arial"/>
          <w:sz w:val="18"/>
          <w:szCs w:val="18"/>
        </w:rPr>
        <w:t>Derrick Crook, Tim Peto</w:t>
      </w:r>
    </w:p>
    <w:p w14:paraId="562CF1DB" w14:textId="15473A59" w:rsidR="00A85830" w:rsidRDefault="00A85830" w:rsidP="003A1378">
      <w:pPr>
        <w:jc w:val="both"/>
        <w:rPr>
          <w:rFonts w:ascii="Arial" w:hAnsi="Arial" w:cs="Arial"/>
          <w:sz w:val="18"/>
          <w:szCs w:val="18"/>
        </w:rPr>
      </w:pPr>
    </w:p>
    <w:p w14:paraId="4EB2295A" w14:textId="2A3DBF7D" w:rsidR="003A1378" w:rsidRPr="003A1378" w:rsidRDefault="00A85830" w:rsidP="003A1378">
      <w:pPr>
        <w:jc w:val="both"/>
        <w:rPr>
          <w:rFonts w:ascii="Arial" w:hAnsi="Arial" w:cs="Arial"/>
          <w:b/>
          <w:sz w:val="18"/>
          <w:szCs w:val="18"/>
          <w:u w:val="single"/>
        </w:rPr>
      </w:pPr>
      <w:r w:rsidRPr="00A85830">
        <w:rPr>
          <w:rFonts w:ascii="Arial" w:hAnsi="Arial" w:cs="Arial"/>
          <w:b/>
          <w:sz w:val="18"/>
          <w:szCs w:val="18"/>
          <w:u w:val="single"/>
        </w:rPr>
        <w:t>UK COVID-19 lateral flow oversight gr</w:t>
      </w:r>
      <w:r>
        <w:rPr>
          <w:rFonts w:ascii="Arial" w:hAnsi="Arial" w:cs="Arial"/>
          <w:b/>
          <w:sz w:val="18"/>
          <w:szCs w:val="18"/>
          <w:u w:val="single"/>
        </w:rPr>
        <w:t>ou</w:t>
      </w:r>
      <w:r w:rsidRPr="00A85830">
        <w:rPr>
          <w:rFonts w:ascii="Arial" w:hAnsi="Arial" w:cs="Arial"/>
          <w:b/>
          <w:sz w:val="18"/>
          <w:szCs w:val="18"/>
          <w:u w:val="single"/>
        </w:rPr>
        <w:t>p</w:t>
      </w:r>
    </w:p>
    <w:p w14:paraId="4CA4E663" w14:textId="663F8837" w:rsidR="00A85830" w:rsidRDefault="00A85830" w:rsidP="003A1378">
      <w:pPr>
        <w:jc w:val="both"/>
        <w:rPr>
          <w:rFonts w:ascii="Arial" w:hAnsi="Arial" w:cs="Arial"/>
          <w:sz w:val="18"/>
          <w:szCs w:val="18"/>
        </w:rPr>
      </w:pPr>
      <w:r>
        <w:rPr>
          <w:rFonts w:ascii="Arial" w:hAnsi="Arial" w:cs="Arial"/>
          <w:sz w:val="18"/>
          <w:szCs w:val="18"/>
        </w:rPr>
        <w:t xml:space="preserve">John Bell, Derrick Crook, Tim Peto, Lennard YW Lee, Susan Hopkins, </w:t>
      </w:r>
      <w:r w:rsidR="00CE4C2A">
        <w:rPr>
          <w:rFonts w:ascii="Arial" w:hAnsi="Arial" w:cs="Arial"/>
          <w:sz w:val="18"/>
          <w:szCs w:val="18"/>
        </w:rPr>
        <w:t>Tom</w:t>
      </w:r>
      <w:r>
        <w:rPr>
          <w:rFonts w:ascii="Arial" w:hAnsi="Arial" w:cs="Arial"/>
          <w:sz w:val="18"/>
          <w:szCs w:val="18"/>
        </w:rPr>
        <w:t xml:space="preserve"> Fowler, Jacqui Ramagge, Anna Gronert, To</w:t>
      </w:r>
      <w:r w:rsidR="00531E96">
        <w:rPr>
          <w:rFonts w:ascii="Arial" w:hAnsi="Arial" w:cs="Arial"/>
          <w:sz w:val="18"/>
          <w:szCs w:val="18"/>
        </w:rPr>
        <w:t>b</w:t>
      </w:r>
      <w:r>
        <w:rPr>
          <w:rFonts w:ascii="Arial" w:hAnsi="Arial" w:cs="Arial"/>
          <w:sz w:val="18"/>
          <w:szCs w:val="18"/>
        </w:rPr>
        <w:t>y Lambert, Alex Sienkiewicz, Hannah Fordham</w:t>
      </w:r>
      <w:r w:rsidR="009A65DC">
        <w:rPr>
          <w:rFonts w:ascii="Arial" w:hAnsi="Arial" w:cs="Arial"/>
          <w:sz w:val="18"/>
          <w:szCs w:val="18"/>
        </w:rPr>
        <w:t>, Mark Driver, Shana Vijayan, Sarah Walker, Emma Stanton, James Bethell</w:t>
      </w:r>
    </w:p>
    <w:p w14:paraId="13FC1110" w14:textId="482752BA" w:rsidR="00894802" w:rsidRDefault="00894802" w:rsidP="003A1378">
      <w:pPr>
        <w:jc w:val="both"/>
        <w:rPr>
          <w:rFonts w:ascii="Arial" w:hAnsi="Arial" w:cs="Arial"/>
          <w:sz w:val="18"/>
          <w:szCs w:val="18"/>
        </w:rPr>
      </w:pPr>
    </w:p>
    <w:p w14:paraId="606E08D3" w14:textId="77777777" w:rsidR="00894802" w:rsidRPr="00894802" w:rsidRDefault="00894802" w:rsidP="00894802">
      <w:pPr>
        <w:jc w:val="both"/>
        <w:rPr>
          <w:rFonts w:ascii="Arial" w:hAnsi="Arial" w:cs="Arial"/>
          <w:b/>
          <w:sz w:val="18"/>
          <w:szCs w:val="18"/>
          <w:u w:val="single"/>
        </w:rPr>
      </w:pPr>
      <w:r w:rsidRPr="00894802">
        <w:rPr>
          <w:rFonts w:ascii="Arial" w:hAnsi="Arial" w:cs="Arial"/>
          <w:b/>
          <w:sz w:val="18"/>
          <w:szCs w:val="18"/>
          <w:u w:val="single"/>
        </w:rPr>
        <w:t>LFD Evaluation Delivery Group</w:t>
      </w:r>
    </w:p>
    <w:p w14:paraId="7D4A60F9" w14:textId="49D8E630" w:rsidR="00894802" w:rsidRDefault="00894802" w:rsidP="003A1378">
      <w:pPr>
        <w:jc w:val="both"/>
        <w:rPr>
          <w:rFonts w:ascii="Arial" w:hAnsi="Arial" w:cs="Arial"/>
          <w:sz w:val="18"/>
          <w:szCs w:val="18"/>
        </w:rPr>
      </w:pPr>
      <w:r w:rsidRPr="00894802">
        <w:rPr>
          <w:rFonts w:ascii="Arial" w:hAnsi="Arial" w:cs="Arial"/>
          <w:sz w:val="18"/>
          <w:szCs w:val="18"/>
        </w:rPr>
        <w:t>Richard</w:t>
      </w:r>
      <w:r>
        <w:rPr>
          <w:rFonts w:ascii="Arial" w:hAnsi="Arial" w:cs="Arial"/>
          <w:sz w:val="18"/>
          <w:szCs w:val="18"/>
        </w:rPr>
        <w:t xml:space="preserve"> Vipond</w:t>
      </w:r>
      <w:r w:rsidRPr="00894802">
        <w:rPr>
          <w:rFonts w:ascii="Arial" w:hAnsi="Arial" w:cs="Arial"/>
          <w:sz w:val="18"/>
          <w:szCs w:val="18"/>
        </w:rPr>
        <w:t>, Neil</w:t>
      </w:r>
      <w:r>
        <w:rPr>
          <w:rFonts w:ascii="Arial" w:hAnsi="Arial" w:cs="Arial"/>
          <w:sz w:val="18"/>
          <w:szCs w:val="18"/>
        </w:rPr>
        <w:t xml:space="preserve"> Mcleod</w:t>
      </w:r>
      <w:r w:rsidRPr="00894802">
        <w:rPr>
          <w:rFonts w:ascii="Arial" w:hAnsi="Arial" w:cs="Arial"/>
          <w:sz w:val="18"/>
          <w:szCs w:val="18"/>
        </w:rPr>
        <w:t>, Abbie</w:t>
      </w:r>
      <w:r>
        <w:rPr>
          <w:rFonts w:ascii="Arial" w:hAnsi="Arial" w:cs="Arial"/>
          <w:sz w:val="18"/>
          <w:szCs w:val="18"/>
        </w:rPr>
        <w:t xml:space="preserve"> Bown</w:t>
      </w:r>
      <w:r w:rsidRPr="00894802">
        <w:rPr>
          <w:rFonts w:ascii="Arial" w:hAnsi="Arial" w:cs="Arial"/>
          <w:sz w:val="18"/>
          <w:szCs w:val="18"/>
        </w:rPr>
        <w:t>, Tim Brooks, Peter</w:t>
      </w:r>
      <w:r>
        <w:rPr>
          <w:rFonts w:ascii="Arial" w:hAnsi="Arial" w:cs="Arial"/>
          <w:sz w:val="18"/>
          <w:szCs w:val="18"/>
        </w:rPr>
        <w:t xml:space="preserve"> Hammond</w:t>
      </w:r>
      <w:r w:rsidRPr="00894802">
        <w:rPr>
          <w:rFonts w:ascii="Arial" w:hAnsi="Arial" w:cs="Arial"/>
          <w:sz w:val="18"/>
          <w:szCs w:val="18"/>
        </w:rPr>
        <w:t>, Cathy</w:t>
      </w:r>
      <w:r>
        <w:rPr>
          <w:rFonts w:ascii="Arial" w:hAnsi="Arial" w:cs="Arial"/>
          <w:sz w:val="18"/>
          <w:szCs w:val="18"/>
        </w:rPr>
        <w:t xml:space="preserve"> Rowe</w:t>
      </w:r>
      <w:r w:rsidRPr="00894802">
        <w:rPr>
          <w:rFonts w:ascii="Arial" w:hAnsi="Arial" w:cs="Arial"/>
          <w:sz w:val="18"/>
          <w:szCs w:val="18"/>
        </w:rPr>
        <w:t>, Bassam</w:t>
      </w:r>
      <w:r>
        <w:rPr>
          <w:rFonts w:ascii="Arial" w:hAnsi="Arial" w:cs="Arial"/>
          <w:sz w:val="18"/>
          <w:szCs w:val="18"/>
        </w:rPr>
        <w:t xml:space="preserve"> Hallis, Lennard </w:t>
      </w:r>
      <w:r w:rsidR="00191B7B">
        <w:rPr>
          <w:rFonts w:ascii="Arial" w:hAnsi="Arial" w:cs="Arial"/>
          <w:sz w:val="18"/>
          <w:szCs w:val="18"/>
        </w:rPr>
        <w:t xml:space="preserve">YW </w:t>
      </w:r>
      <w:r>
        <w:rPr>
          <w:rFonts w:ascii="Arial" w:hAnsi="Arial" w:cs="Arial"/>
          <w:sz w:val="18"/>
          <w:szCs w:val="18"/>
        </w:rPr>
        <w:t>Lee,</w:t>
      </w:r>
      <w:r w:rsidRPr="00894802">
        <w:rPr>
          <w:rFonts w:ascii="Arial" w:hAnsi="Arial" w:cs="Arial"/>
          <w:sz w:val="18"/>
          <w:szCs w:val="18"/>
        </w:rPr>
        <w:t xml:space="preserve"> Tim</w:t>
      </w:r>
      <w:r>
        <w:rPr>
          <w:rFonts w:ascii="Arial" w:hAnsi="Arial" w:cs="Arial"/>
          <w:sz w:val="18"/>
          <w:szCs w:val="18"/>
        </w:rPr>
        <w:t xml:space="preserve"> Peto</w:t>
      </w:r>
      <w:r w:rsidRPr="00894802">
        <w:rPr>
          <w:rFonts w:ascii="Arial" w:hAnsi="Arial" w:cs="Arial"/>
          <w:sz w:val="18"/>
          <w:szCs w:val="18"/>
        </w:rPr>
        <w:t>, Derrick</w:t>
      </w:r>
      <w:r>
        <w:rPr>
          <w:rFonts w:ascii="Arial" w:hAnsi="Arial" w:cs="Arial"/>
          <w:sz w:val="18"/>
          <w:szCs w:val="18"/>
        </w:rPr>
        <w:t xml:space="preserve"> Crooke</w:t>
      </w:r>
      <w:r w:rsidRPr="00894802">
        <w:rPr>
          <w:rFonts w:ascii="Arial" w:hAnsi="Arial" w:cs="Arial"/>
          <w:sz w:val="18"/>
          <w:szCs w:val="18"/>
        </w:rPr>
        <w:t>, Nicole</w:t>
      </w:r>
      <w:r>
        <w:rPr>
          <w:rFonts w:ascii="Arial" w:hAnsi="Arial" w:cs="Arial"/>
          <w:sz w:val="18"/>
          <w:szCs w:val="18"/>
        </w:rPr>
        <w:t xml:space="preserve"> Stoesser</w:t>
      </w:r>
      <w:r w:rsidRPr="00894802">
        <w:rPr>
          <w:rFonts w:ascii="Arial" w:hAnsi="Arial" w:cs="Arial"/>
          <w:sz w:val="18"/>
          <w:szCs w:val="18"/>
        </w:rPr>
        <w:t xml:space="preserve"> and Phillipa</w:t>
      </w:r>
      <w:r>
        <w:rPr>
          <w:rFonts w:ascii="Arial" w:hAnsi="Arial" w:cs="Arial"/>
          <w:sz w:val="18"/>
          <w:szCs w:val="18"/>
        </w:rPr>
        <w:t xml:space="preserve"> Matthews, Alex Sienciewicz (chair)</w:t>
      </w:r>
    </w:p>
    <w:p w14:paraId="2FDE4DB9" w14:textId="7E587EB5" w:rsidR="00B91DB0" w:rsidRDefault="00B91DB0" w:rsidP="003A1378">
      <w:pPr>
        <w:jc w:val="both"/>
        <w:rPr>
          <w:rFonts w:ascii="Arial" w:hAnsi="Arial" w:cs="Arial"/>
          <w:sz w:val="18"/>
          <w:szCs w:val="18"/>
        </w:rPr>
      </w:pPr>
    </w:p>
    <w:p w14:paraId="2401D10E" w14:textId="695777D9" w:rsidR="00B91DB0" w:rsidRPr="00B91DB0" w:rsidRDefault="00B91DB0" w:rsidP="003A1378">
      <w:pPr>
        <w:jc w:val="both"/>
        <w:rPr>
          <w:rFonts w:ascii="Arial" w:hAnsi="Arial" w:cs="Arial"/>
          <w:b/>
          <w:sz w:val="18"/>
          <w:szCs w:val="18"/>
          <w:u w:val="single"/>
        </w:rPr>
      </w:pPr>
      <w:r w:rsidRPr="00B91DB0">
        <w:rPr>
          <w:rFonts w:ascii="Arial" w:hAnsi="Arial" w:cs="Arial"/>
          <w:b/>
          <w:sz w:val="18"/>
          <w:szCs w:val="18"/>
          <w:u w:val="single"/>
        </w:rPr>
        <w:t>Falcon-C19 project management group</w:t>
      </w:r>
    </w:p>
    <w:p w14:paraId="5B9DAB21" w14:textId="39EE5DAD" w:rsidR="00B91DB0" w:rsidRDefault="00B91DB0" w:rsidP="003A1378">
      <w:pPr>
        <w:jc w:val="both"/>
        <w:rPr>
          <w:rFonts w:ascii="Arial" w:hAnsi="Arial" w:cs="Arial"/>
          <w:sz w:val="18"/>
          <w:szCs w:val="18"/>
        </w:rPr>
      </w:pPr>
      <w:r>
        <w:rPr>
          <w:rFonts w:ascii="Arial" w:hAnsi="Arial" w:cs="Arial"/>
          <w:sz w:val="18"/>
          <w:szCs w:val="18"/>
        </w:rPr>
        <w:t>Daniel Lasser</w:t>
      </w:r>
      <w:r w:rsidR="002831FD">
        <w:rPr>
          <w:rFonts w:ascii="Arial" w:hAnsi="Arial" w:cs="Arial"/>
          <w:sz w:val="18"/>
          <w:szCs w:val="18"/>
        </w:rPr>
        <w:t>s</w:t>
      </w:r>
      <w:r>
        <w:rPr>
          <w:rFonts w:ascii="Arial" w:hAnsi="Arial" w:cs="Arial"/>
          <w:sz w:val="18"/>
          <w:szCs w:val="18"/>
        </w:rPr>
        <w:t xml:space="preserve">on, </w:t>
      </w:r>
      <w:r w:rsidR="000F47A0" w:rsidRPr="00C42DE5">
        <w:rPr>
          <w:rFonts w:ascii="Arial" w:hAnsi="Arial" w:cs="Arial"/>
          <w:sz w:val="18"/>
          <w:szCs w:val="18"/>
        </w:rPr>
        <w:t>Cha</w:t>
      </w:r>
      <w:r w:rsidR="000F47A0">
        <w:rPr>
          <w:rFonts w:ascii="Arial" w:hAnsi="Arial" w:cs="Arial"/>
          <w:sz w:val="18"/>
          <w:szCs w:val="18"/>
        </w:rPr>
        <w:t>r</w:t>
      </w:r>
      <w:r w:rsidR="000F47A0" w:rsidRPr="00C42DE5">
        <w:rPr>
          <w:rFonts w:ascii="Arial" w:hAnsi="Arial" w:cs="Arial"/>
          <w:sz w:val="18"/>
          <w:szCs w:val="18"/>
        </w:rPr>
        <w:t xml:space="preserve">les Reynard, </w:t>
      </w:r>
      <w:r>
        <w:rPr>
          <w:rFonts w:ascii="Arial" w:hAnsi="Arial" w:cs="Arial"/>
          <w:sz w:val="18"/>
          <w:szCs w:val="18"/>
        </w:rPr>
        <w:t>Lennard YW Lee, Richard Body</w:t>
      </w:r>
    </w:p>
    <w:p w14:paraId="7F6CD832" w14:textId="77777777" w:rsidR="00B91DB0" w:rsidRDefault="00B91DB0" w:rsidP="003A1378">
      <w:pPr>
        <w:jc w:val="both"/>
        <w:rPr>
          <w:rFonts w:ascii="Arial" w:hAnsi="Arial" w:cs="Arial"/>
          <w:sz w:val="18"/>
          <w:szCs w:val="18"/>
        </w:rPr>
      </w:pPr>
    </w:p>
    <w:p w14:paraId="70BDDF11" w14:textId="2DC54213" w:rsidR="00B91DB0" w:rsidRPr="00B91DB0" w:rsidRDefault="00B91DB0" w:rsidP="003A1378">
      <w:pPr>
        <w:jc w:val="both"/>
        <w:rPr>
          <w:rFonts w:ascii="Arial" w:hAnsi="Arial" w:cs="Arial"/>
          <w:b/>
          <w:sz w:val="18"/>
          <w:szCs w:val="18"/>
          <w:u w:val="single"/>
        </w:rPr>
      </w:pPr>
      <w:r w:rsidRPr="00B91DB0">
        <w:rPr>
          <w:rFonts w:ascii="Arial" w:hAnsi="Arial" w:cs="Arial"/>
          <w:b/>
          <w:sz w:val="18"/>
          <w:szCs w:val="18"/>
          <w:u w:val="single"/>
        </w:rPr>
        <w:t>Redkite project management group</w:t>
      </w:r>
    </w:p>
    <w:p w14:paraId="6E910AE1" w14:textId="6C765598" w:rsidR="00A85830" w:rsidRDefault="00153849" w:rsidP="003A1378">
      <w:pPr>
        <w:jc w:val="both"/>
        <w:rPr>
          <w:rFonts w:ascii="Arial" w:hAnsi="Arial" w:cs="Arial"/>
          <w:sz w:val="18"/>
          <w:szCs w:val="18"/>
        </w:rPr>
      </w:pPr>
      <w:r>
        <w:rPr>
          <w:rFonts w:ascii="Arial" w:hAnsi="Arial" w:cs="Arial"/>
          <w:sz w:val="18"/>
          <w:szCs w:val="18"/>
        </w:rPr>
        <w:t>Philippa Matthews</w:t>
      </w:r>
      <w:r w:rsidR="00CE76A4">
        <w:rPr>
          <w:rFonts w:ascii="Arial" w:hAnsi="Arial" w:cs="Arial"/>
          <w:sz w:val="18"/>
          <w:szCs w:val="18"/>
        </w:rPr>
        <w:t xml:space="preserve">, Sheila Lumley, Tim Peto, Nicole Stoesser, Derrick Crook, Sarah Walker. </w:t>
      </w:r>
    </w:p>
    <w:p w14:paraId="398D7FC1" w14:textId="046AD194" w:rsidR="00A83F1D" w:rsidRDefault="00A83F1D" w:rsidP="003A1378">
      <w:pPr>
        <w:jc w:val="both"/>
        <w:rPr>
          <w:rFonts w:ascii="Arial" w:hAnsi="Arial" w:cs="Arial"/>
          <w:sz w:val="18"/>
          <w:szCs w:val="18"/>
        </w:rPr>
      </w:pPr>
    </w:p>
    <w:p w14:paraId="024BCA09" w14:textId="77777777" w:rsidR="00A85830" w:rsidRDefault="00A85830" w:rsidP="003A1378">
      <w:pPr>
        <w:jc w:val="both"/>
        <w:rPr>
          <w:rFonts w:ascii="Arial" w:hAnsi="Arial" w:cs="Arial"/>
          <w:sz w:val="18"/>
          <w:szCs w:val="18"/>
        </w:rPr>
      </w:pPr>
    </w:p>
    <w:p w14:paraId="184FC30E" w14:textId="46FAB35F" w:rsidR="00A85830" w:rsidRPr="00A85830" w:rsidRDefault="00A85830" w:rsidP="003A1378">
      <w:pPr>
        <w:jc w:val="both"/>
        <w:rPr>
          <w:rFonts w:ascii="Arial" w:hAnsi="Arial" w:cs="Arial"/>
          <w:b/>
          <w:sz w:val="18"/>
          <w:szCs w:val="18"/>
          <w:u w:val="single"/>
        </w:rPr>
      </w:pPr>
      <w:r w:rsidRPr="00A85830">
        <w:rPr>
          <w:rFonts w:ascii="Arial" w:hAnsi="Arial" w:cs="Arial"/>
          <w:b/>
          <w:sz w:val="18"/>
          <w:szCs w:val="18"/>
          <w:u w:val="single"/>
        </w:rPr>
        <w:t>Contributions</w:t>
      </w:r>
    </w:p>
    <w:p w14:paraId="7D0986F4" w14:textId="748ECE54" w:rsidR="00A85830" w:rsidRDefault="00A85830" w:rsidP="003A1378">
      <w:pPr>
        <w:jc w:val="both"/>
        <w:rPr>
          <w:rFonts w:ascii="Arial" w:hAnsi="Arial" w:cs="Arial"/>
          <w:sz w:val="18"/>
          <w:szCs w:val="18"/>
        </w:rPr>
      </w:pPr>
    </w:p>
    <w:p w14:paraId="1F8DBCCC" w14:textId="77777777" w:rsidR="00FD6974" w:rsidRDefault="00A85830" w:rsidP="003A1378">
      <w:pPr>
        <w:jc w:val="both"/>
        <w:rPr>
          <w:rFonts w:ascii="Arial" w:hAnsi="Arial" w:cs="Arial"/>
          <w:b/>
          <w:sz w:val="18"/>
          <w:szCs w:val="18"/>
        </w:rPr>
      </w:pPr>
      <w:r w:rsidRPr="00C42DE5">
        <w:rPr>
          <w:rFonts w:ascii="Arial" w:hAnsi="Arial" w:cs="Arial"/>
          <w:b/>
          <w:sz w:val="18"/>
          <w:szCs w:val="18"/>
        </w:rPr>
        <w:t>Study conception and design</w:t>
      </w:r>
    </w:p>
    <w:p w14:paraId="4FD8E3D4" w14:textId="34F9E887" w:rsidR="009A65DC" w:rsidRDefault="009A65DC" w:rsidP="003A1378">
      <w:pPr>
        <w:jc w:val="both"/>
        <w:rPr>
          <w:rFonts w:ascii="Arial" w:hAnsi="Arial" w:cs="Arial"/>
          <w:sz w:val="18"/>
          <w:szCs w:val="18"/>
        </w:rPr>
      </w:pPr>
      <w:r>
        <w:rPr>
          <w:rFonts w:ascii="Arial" w:hAnsi="Arial" w:cs="Arial"/>
          <w:sz w:val="18"/>
          <w:szCs w:val="18"/>
        </w:rPr>
        <w:t xml:space="preserve">John Bell, </w:t>
      </w:r>
      <w:r w:rsidR="00FD6974">
        <w:rPr>
          <w:rFonts w:ascii="Arial" w:hAnsi="Arial" w:cs="Arial"/>
          <w:sz w:val="18"/>
          <w:szCs w:val="18"/>
        </w:rPr>
        <w:t xml:space="preserve">Richard Body, Abbie Bown, Derrick Crook, </w:t>
      </w:r>
      <w:r w:rsidR="00EC5BE1">
        <w:rPr>
          <w:rFonts w:ascii="Arial" w:hAnsi="Arial" w:cs="Arial"/>
          <w:sz w:val="18"/>
          <w:szCs w:val="18"/>
        </w:rPr>
        <w:t>Peter</w:t>
      </w:r>
      <w:r w:rsidR="00FD6974">
        <w:rPr>
          <w:rFonts w:ascii="Arial" w:hAnsi="Arial" w:cs="Arial"/>
          <w:sz w:val="18"/>
          <w:szCs w:val="18"/>
        </w:rPr>
        <w:t xml:space="preserve"> Hammond, </w:t>
      </w:r>
      <w:r>
        <w:rPr>
          <w:rFonts w:ascii="Arial" w:hAnsi="Arial" w:cs="Arial"/>
          <w:sz w:val="18"/>
          <w:szCs w:val="18"/>
        </w:rPr>
        <w:t xml:space="preserve">Lennard Lee, </w:t>
      </w:r>
      <w:r w:rsidR="00FD6974">
        <w:rPr>
          <w:rFonts w:ascii="Arial" w:hAnsi="Arial" w:cs="Arial"/>
          <w:sz w:val="18"/>
          <w:szCs w:val="18"/>
        </w:rPr>
        <w:t xml:space="preserve">Neil Mcleod, </w:t>
      </w:r>
      <w:r>
        <w:rPr>
          <w:rFonts w:ascii="Arial" w:hAnsi="Arial" w:cs="Arial"/>
          <w:sz w:val="18"/>
          <w:szCs w:val="18"/>
        </w:rPr>
        <w:t xml:space="preserve">Tim Peto, </w:t>
      </w:r>
      <w:r w:rsidR="00FD6974">
        <w:rPr>
          <w:rFonts w:ascii="Arial" w:hAnsi="Arial" w:cs="Arial"/>
          <w:sz w:val="18"/>
          <w:szCs w:val="18"/>
        </w:rPr>
        <w:t>Alex Sienkiewicz.</w:t>
      </w:r>
    </w:p>
    <w:p w14:paraId="691A4DC9" w14:textId="31271154" w:rsidR="00707376" w:rsidRDefault="00707376" w:rsidP="003A1378">
      <w:pPr>
        <w:jc w:val="both"/>
        <w:rPr>
          <w:rFonts w:ascii="Arial" w:hAnsi="Arial" w:cs="Arial"/>
          <w:b/>
          <w:sz w:val="18"/>
          <w:szCs w:val="18"/>
        </w:rPr>
      </w:pPr>
    </w:p>
    <w:p w14:paraId="58A198AF" w14:textId="77777777" w:rsidR="00707376" w:rsidRPr="00BE1DE8" w:rsidRDefault="00707376" w:rsidP="00707376">
      <w:pPr>
        <w:jc w:val="both"/>
        <w:rPr>
          <w:rFonts w:ascii="Arial" w:hAnsi="Arial" w:cs="Arial"/>
          <w:b/>
          <w:sz w:val="18"/>
          <w:szCs w:val="18"/>
        </w:rPr>
      </w:pPr>
      <w:r w:rsidRPr="00BE1DE8">
        <w:rPr>
          <w:rFonts w:ascii="Arial" w:hAnsi="Arial" w:cs="Arial"/>
          <w:b/>
          <w:sz w:val="18"/>
          <w:szCs w:val="18"/>
        </w:rPr>
        <w:t>Laboratory tests and evaluation</w:t>
      </w:r>
    </w:p>
    <w:p w14:paraId="4A6B6A0F" w14:textId="77777777" w:rsidR="00707376" w:rsidRPr="00BE1DE8" w:rsidRDefault="00707376" w:rsidP="00707376">
      <w:pPr>
        <w:jc w:val="both"/>
        <w:rPr>
          <w:rFonts w:ascii="Arial" w:hAnsi="Arial" w:cs="Arial"/>
          <w:i/>
          <w:sz w:val="18"/>
          <w:szCs w:val="18"/>
        </w:rPr>
      </w:pPr>
      <w:r w:rsidRPr="00BE1DE8">
        <w:rPr>
          <w:rFonts w:ascii="Arial" w:hAnsi="Arial" w:cs="Arial"/>
          <w:i/>
          <w:sz w:val="18"/>
          <w:szCs w:val="18"/>
        </w:rPr>
        <w:t>Public Health England Porton Down</w:t>
      </w:r>
    </w:p>
    <w:p w14:paraId="7F553261" w14:textId="233134D9" w:rsidR="00707376" w:rsidRPr="00EE5E71" w:rsidRDefault="00707376" w:rsidP="00707376">
      <w:pPr>
        <w:jc w:val="both"/>
        <w:rPr>
          <w:rFonts w:ascii="Arial" w:hAnsi="Arial" w:cs="Arial"/>
          <w:sz w:val="18"/>
          <w:szCs w:val="18"/>
        </w:rPr>
      </w:pPr>
      <w:r w:rsidRPr="00BE1DE8">
        <w:rPr>
          <w:rFonts w:ascii="Arial" w:hAnsi="Arial" w:cs="Arial"/>
          <w:sz w:val="18"/>
          <w:szCs w:val="18"/>
        </w:rPr>
        <w:t xml:space="preserve">Babak Afrough, Collette Allen, Tracy Benford, Abbie Bown, Tim Brooks, Olivia Carr, Daniel Carter, Matthew Catton, Jim Chadwick, Bea Choi, Simon Clark, Dawn Clarke, Richard Clayton, Ant Crook, Silvia D’Arcangelo, Ruth Elderfield, Mollie French, Joseph Gernon, Bassam Hallis, Peter Hammond, Gabriella Harker, Patrick Lahert, Cristina Leggio, Christopher Logue, Vanessa Lucas, </w:t>
      </w:r>
      <w:r w:rsidR="00F1764D">
        <w:rPr>
          <w:rFonts w:ascii="Arial" w:hAnsi="Arial" w:cs="Arial"/>
          <w:sz w:val="18"/>
          <w:szCs w:val="18"/>
        </w:rPr>
        <w:t>Deborah Fox</w:t>
      </w:r>
      <w:r w:rsidRPr="00BE1DE8">
        <w:rPr>
          <w:rFonts w:ascii="Arial" w:hAnsi="Arial" w:cs="Arial"/>
          <w:sz w:val="18"/>
          <w:szCs w:val="18"/>
        </w:rPr>
        <w:t xml:space="preserve"> McKee, Neil McLeod, Ashley Otter, Jodie Owen, Prem Perumal, Cathy Rowe, Jane Shallcross, Angela Sweed, Sian Tiley, Elizabeth Truelove, Richard Vipond, Stephen Wilson, Deborah Wright</w:t>
      </w:r>
      <w:r>
        <w:rPr>
          <w:rFonts w:ascii="Arial" w:hAnsi="Arial" w:cs="Arial"/>
          <w:sz w:val="18"/>
          <w:szCs w:val="18"/>
        </w:rPr>
        <w:t>.</w:t>
      </w:r>
    </w:p>
    <w:p w14:paraId="027AA79B" w14:textId="77777777" w:rsidR="00707376" w:rsidRDefault="00707376" w:rsidP="00707376">
      <w:pPr>
        <w:jc w:val="both"/>
        <w:rPr>
          <w:rFonts w:ascii="Arial" w:hAnsi="Arial" w:cs="Arial"/>
          <w:sz w:val="18"/>
          <w:szCs w:val="18"/>
        </w:rPr>
      </w:pPr>
    </w:p>
    <w:p w14:paraId="367C9C3B" w14:textId="77777777" w:rsidR="00707376" w:rsidRDefault="00707376" w:rsidP="00707376">
      <w:pPr>
        <w:jc w:val="both"/>
        <w:rPr>
          <w:rFonts w:ascii="Arial" w:hAnsi="Arial" w:cs="Arial"/>
          <w:sz w:val="18"/>
          <w:szCs w:val="18"/>
        </w:rPr>
      </w:pPr>
    </w:p>
    <w:p w14:paraId="658262BE" w14:textId="77777777" w:rsidR="00707376" w:rsidRPr="00EE5E71" w:rsidRDefault="00707376" w:rsidP="00707376">
      <w:pPr>
        <w:tabs>
          <w:tab w:val="left" w:pos="2431"/>
        </w:tabs>
        <w:jc w:val="both"/>
        <w:rPr>
          <w:rFonts w:ascii="Arial" w:hAnsi="Arial" w:cs="Arial"/>
          <w:b/>
          <w:sz w:val="18"/>
          <w:szCs w:val="18"/>
        </w:rPr>
      </w:pPr>
      <w:r w:rsidRPr="00EE5E71">
        <w:rPr>
          <w:rFonts w:ascii="Arial" w:hAnsi="Arial" w:cs="Arial"/>
          <w:b/>
          <w:sz w:val="18"/>
          <w:szCs w:val="18"/>
        </w:rPr>
        <w:t>Data analysis</w:t>
      </w:r>
      <w:r w:rsidRPr="00EE5E71">
        <w:rPr>
          <w:rFonts w:ascii="Arial" w:hAnsi="Arial" w:cs="Arial"/>
          <w:b/>
          <w:sz w:val="18"/>
          <w:szCs w:val="18"/>
        </w:rPr>
        <w:tab/>
      </w:r>
    </w:p>
    <w:p w14:paraId="561305AA" w14:textId="7B0C568F" w:rsidR="00707376" w:rsidRDefault="00FD5306" w:rsidP="00707376">
      <w:pPr>
        <w:jc w:val="both"/>
        <w:rPr>
          <w:rFonts w:ascii="Arial" w:hAnsi="Arial" w:cs="Arial"/>
          <w:sz w:val="18"/>
          <w:szCs w:val="18"/>
        </w:rPr>
      </w:pPr>
      <w:r>
        <w:rPr>
          <w:rFonts w:ascii="Arial" w:hAnsi="Arial" w:cs="Arial"/>
          <w:sz w:val="18"/>
          <w:szCs w:val="18"/>
        </w:rPr>
        <w:t xml:space="preserve">Richard Body, </w:t>
      </w:r>
      <w:r w:rsidR="00707376">
        <w:rPr>
          <w:rFonts w:ascii="Arial" w:hAnsi="Arial" w:cs="Arial"/>
          <w:sz w:val="18"/>
          <w:szCs w:val="18"/>
        </w:rPr>
        <w:t>Abbie Bown, David Eyre,</w:t>
      </w:r>
      <w:r w:rsidR="00707376" w:rsidRPr="008D667D">
        <w:rPr>
          <w:rFonts w:ascii="Arial" w:hAnsi="Arial" w:cs="Arial"/>
          <w:sz w:val="18"/>
          <w:szCs w:val="18"/>
        </w:rPr>
        <w:t xml:space="preserve"> </w:t>
      </w:r>
      <w:r w:rsidR="00707376">
        <w:rPr>
          <w:rFonts w:ascii="Arial" w:hAnsi="Arial" w:cs="Arial"/>
          <w:sz w:val="18"/>
          <w:szCs w:val="18"/>
        </w:rPr>
        <w:t>Peter Hammond, Lennard YW Lee, Philippa Matthews,</w:t>
      </w:r>
      <w:r w:rsidR="00707376" w:rsidRPr="008D667D">
        <w:rPr>
          <w:rFonts w:ascii="Arial" w:hAnsi="Arial" w:cs="Arial"/>
          <w:sz w:val="18"/>
          <w:szCs w:val="18"/>
        </w:rPr>
        <w:t xml:space="preserve"> </w:t>
      </w:r>
      <w:r w:rsidR="00707376">
        <w:rPr>
          <w:rFonts w:ascii="Arial" w:hAnsi="Arial" w:cs="Arial"/>
          <w:sz w:val="18"/>
          <w:szCs w:val="18"/>
        </w:rPr>
        <w:t>Neil McLeod,</w:t>
      </w:r>
      <w:r w:rsidR="00707376" w:rsidRPr="008D667D">
        <w:rPr>
          <w:rFonts w:ascii="Arial" w:hAnsi="Arial" w:cs="Arial"/>
          <w:sz w:val="18"/>
          <w:szCs w:val="18"/>
        </w:rPr>
        <w:t xml:space="preserve"> </w:t>
      </w:r>
      <w:r w:rsidR="00707376">
        <w:rPr>
          <w:rFonts w:ascii="Arial" w:hAnsi="Arial" w:cs="Arial"/>
          <w:sz w:val="18"/>
          <w:szCs w:val="18"/>
        </w:rPr>
        <w:t>Tim Peto,</w:t>
      </w:r>
      <w:r w:rsidR="00707376" w:rsidRPr="008D667D">
        <w:rPr>
          <w:rFonts w:ascii="Arial" w:hAnsi="Arial" w:cs="Arial"/>
          <w:sz w:val="18"/>
          <w:szCs w:val="18"/>
        </w:rPr>
        <w:t xml:space="preserve"> </w:t>
      </w:r>
      <w:r w:rsidR="00707376">
        <w:rPr>
          <w:rFonts w:ascii="Arial" w:hAnsi="Arial" w:cs="Arial"/>
          <w:sz w:val="18"/>
          <w:szCs w:val="18"/>
        </w:rPr>
        <w:t>Cathy Rowe,</w:t>
      </w:r>
      <w:r w:rsidR="00707376" w:rsidRPr="008D667D">
        <w:rPr>
          <w:rFonts w:ascii="Arial" w:hAnsi="Arial" w:cs="Arial"/>
          <w:sz w:val="18"/>
          <w:szCs w:val="18"/>
        </w:rPr>
        <w:t xml:space="preserve"> </w:t>
      </w:r>
      <w:r w:rsidR="00707376">
        <w:rPr>
          <w:rFonts w:ascii="Arial" w:hAnsi="Arial" w:cs="Arial"/>
          <w:sz w:val="18"/>
          <w:szCs w:val="18"/>
        </w:rPr>
        <w:t>Alex Sienkiewicz,</w:t>
      </w:r>
      <w:r w:rsidR="00707376" w:rsidRPr="008D667D">
        <w:rPr>
          <w:rFonts w:ascii="Arial" w:hAnsi="Arial" w:cs="Arial"/>
          <w:sz w:val="18"/>
          <w:szCs w:val="18"/>
        </w:rPr>
        <w:t xml:space="preserve"> </w:t>
      </w:r>
      <w:r w:rsidR="00707376">
        <w:rPr>
          <w:rFonts w:ascii="Arial" w:hAnsi="Arial" w:cs="Arial"/>
          <w:sz w:val="18"/>
          <w:szCs w:val="18"/>
        </w:rPr>
        <w:t>Thomas Starkey,</w:t>
      </w:r>
      <w:r w:rsidR="00707376" w:rsidRPr="008D667D">
        <w:rPr>
          <w:rFonts w:ascii="Arial" w:hAnsi="Arial" w:cs="Arial"/>
          <w:sz w:val="18"/>
          <w:szCs w:val="18"/>
        </w:rPr>
        <w:t xml:space="preserve"> </w:t>
      </w:r>
      <w:r w:rsidR="00707376">
        <w:rPr>
          <w:rFonts w:ascii="Arial" w:hAnsi="Arial" w:cs="Arial"/>
          <w:sz w:val="18"/>
          <w:szCs w:val="18"/>
        </w:rPr>
        <w:t>Nicole Stoesser,</w:t>
      </w:r>
      <w:r w:rsidR="00707376" w:rsidRPr="008D667D">
        <w:rPr>
          <w:rFonts w:ascii="Arial" w:hAnsi="Arial" w:cs="Arial"/>
          <w:sz w:val="18"/>
          <w:szCs w:val="18"/>
        </w:rPr>
        <w:t xml:space="preserve"> </w:t>
      </w:r>
      <w:r w:rsidR="00707376" w:rsidRPr="00C42DE5">
        <w:rPr>
          <w:rFonts w:ascii="Arial" w:hAnsi="Arial" w:cs="Arial"/>
          <w:sz w:val="18"/>
          <w:szCs w:val="18"/>
        </w:rPr>
        <w:t>Chris Turnbull,</w:t>
      </w:r>
      <w:r w:rsidR="00707376" w:rsidRPr="008D667D">
        <w:rPr>
          <w:rFonts w:ascii="Arial" w:hAnsi="Arial" w:cs="Arial"/>
          <w:sz w:val="18"/>
          <w:szCs w:val="18"/>
        </w:rPr>
        <w:t xml:space="preserve"> </w:t>
      </w:r>
      <w:r w:rsidR="00707376" w:rsidRPr="00EE5E71">
        <w:rPr>
          <w:rFonts w:ascii="Arial" w:hAnsi="Arial" w:cs="Arial"/>
          <w:sz w:val="18"/>
          <w:szCs w:val="18"/>
        </w:rPr>
        <w:t>Richard Vipond</w:t>
      </w:r>
    </w:p>
    <w:p w14:paraId="42D0A047" w14:textId="4A51DC3A" w:rsidR="00707376" w:rsidRPr="00707376" w:rsidRDefault="00707376" w:rsidP="003A1378">
      <w:pPr>
        <w:jc w:val="both"/>
        <w:rPr>
          <w:rFonts w:ascii="Arial" w:hAnsi="Arial" w:cs="Arial"/>
          <w:sz w:val="18"/>
          <w:szCs w:val="18"/>
        </w:rPr>
      </w:pPr>
      <w:r>
        <w:rPr>
          <w:rFonts w:ascii="Arial" w:hAnsi="Arial" w:cs="Arial"/>
          <w:sz w:val="18"/>
          <w:szCs w:val="18"/>
        </w:rPr>
        <w:t xml:space="preserve"> </w:t>
      </w:r>
    </w:p>
    <w:p w14:paraId="269145D0" w14:textId="2E300A7D" w:rsidR="00C42DE5" w:rsidRDefault="00C42DE5" w:rsidP="003A1378">
      <w:pPr>
        <w:jc w:val="both"/>
        <w:rPr>
          <w:rFonts w:ascii="Arial" w:hAnsi="Arial" w:cs="Arial"/>
          <w:sz w:val="18"/>
          <w:szCs w:val="18"/>
        </w:rPr>
      </w:pPr>
    </w:p>
    <w:p w14:paraId="040F33A8" w14:textId="582A2DF7" w:rsidR="00C42DE5" w:rsidRDefault="00C42DE5" w:rsidP="003A1378">
      <w:pPr>
        <w:jc w:val="both"/>
        <w:rPr>
          <w:rFonts w:ascii="Arial" w:hAnsi="Arial" w:cs="Arial"/>
          <w:b/>
          <w:sz w:val="18"/>
          <w:szCs w:val="18"/>
        </w:rPr>
      </w:pPr>
      <w:r w:rsidRPr="00C42DE5">
        <w:rPr>
          <w:rFonts w:ascii="Arial" w:hAnsi="Arial" w:cs="Arial"/>
          <w:b/>
          <w:sz w:val="18"/>
          <w:szCs w:val="18"/>
        </w:rPr>
        <w:t>Study site set up</w:t>
      </w:r>
      <w:r>
        <w:rPr>
          <w:rFonts w:ascii="Arial" w:hAnsi="Arial" w:cs="Arial"/>
          <w:b/>
          <w:sz w:val="18"/>
          <w:szCs w:val="18"/>
        </w:rPr>
        <w:t xml:space="preserve">, </w:t>
      </w:r>
      <w:r w:rsidRPr="00C42DE5">
        <w:rPr>
          <w:rFonts w:ascii="Arial" w:hAnsi="Arial" w:cs="Arial"/>
          <w:b/>
          <w:sz w:val="18"/>
          <w:szCs w:val="18"/>
        </w:rPr>
        <w:t>logistics</w:t>
      </w:r>
      <w:r>
        <w:rPr>
          <w:rFonts w:ascii="Arial" w:hAnsi="Arial" w:cs="Arial"/>
          <w:b/>
          <w:sz w:val="18"/>
          <w:szCs w:val="18"/>
        </w:rPr>
        <w:t xml:space="preserve"> and data collection</w:t>
      </w:r>
    </w:p>
    <w:p w14:paraId="1163CCF9" w14:textId="77777777" w:rsidR="00EE5E71" w:rsidRDefault="00EE5E71" w:rsidP="003A1378">
      <w:pPr>
        <w:jc w:val="both"/>
        <w:rPr>
          <w:rFonts w:ascii="Arial" w:hAnsi="Arial" w:cs="Arial"/>
          <w:sz w:val="18"/>
          <w:szCs w:val="18"/>
        </w:rPr>
      </w:pPr>
    </w:p>
    <w:p w14:paraId="3CBB29C0" w14:textId="29B25148" w:rsidR="00EE5E71" w:rsidRDefault="00EE5E71" w:rsidP="003A1378">
      <w:pPr>
        <w:jc w:val="both"/>
        <w:rPr>
          <w:rFonts w:ascii="Arial" w:hAnsi="Arial" w:cs="Arial"/>
          <w:i/>
          <w:sz w:val="18"/>
          <w:szCs w:val="18"/>
        </w:rPr>
      </w:pPr>
      <w:r>
        <w:rPr>
          <w:rFonts w:ascii="Arial" w:hAnsi="Arial" w:cs="Arial"/>
          <w:i/>
          <w:sz w:val="18"/>
          <w:szCs w:val="18"/>
        </w:rPr>
        <w:t>Falcon workstream B study team</w:t>
      </w:r>
    </w:p>
    <w:p w14:paraId="2B6D0BA0" w14:textId="769DBA97" w:rsidR="00EE5E71" w:rsidRDefault="00EE5E71" w:rsidP="003A1378">
      <w:pPr>
        <w:jc w:val="both"/>
        <w:rPr>
          <w:rFonts w:ascii="Arial" w:hAnsi="Arial" w:cs="Arial"/>
          <w:sz w:val="18"/>
          <w:szCs w:val="18"/>
        </w:rPr>
      </w:pPr>
      <w:r w:rsidRPr="00C42DE5">
        <w:rPr>
          <w:rFonts w:ascii="Arial" w:hAnsi="Arial" w:cs="Arial"/>
          <w:sz w:val="18"/>
          <w:szCs w:val="18"/>
        </w:rPr>
        <w:t xml:space="preserve">Richard Body, </w:t>
      </w:r>
      <w:r>
        <w:rPr>
          <w:rFonts w:ascii="Arial" w:hAnsi="Arial" w:cs="Arial"/>
          <w:sz w:val="18"/>
          <w:szCs w:val="18"/>
        </w:rPr>
        <w:t xml:space="preserve"> </w:t>
      </w:r>
      <w:r w:rsidR="007F4C93" w:rsidRPr="00C42DE5">
        <w:rPr>
          <w:rFonts w:ascii="Arial" w:hAnsi="Arial" w:cs="Arial"/>
          <w:sz w:val="18"/>
          <w:szCs w:val="18"/>
        </w:rPr>
        <w:t>Elo</w:t>
      </w:r>
      <w:r w:rsidR="007F4C93">
        <w:rPr>
          <w:rFonts w:ascii="Arial" w:hAnsi="Arial" w:cs="Arial"/>
          <w:sz w:val="18"/>
          <w:szCs w:val="18"/>
        </w:rPr>
        <w:t>ï</w:t>
      </w:r>
      <w:r w:rsidR="007F4C93" w:rsidRPr="00C42DE5">
        <w:rPr>
          <w:rFonts w:ascii="Arial" w:hAnsi="Arial" w:cs="Arial"/>
          <w:sz w:val="18"/>
          <w:szCs w:val="18"/>
        </w:rPr>
        <w:t xml:space="preserve">se </w:t>
      </w:r>
      <w:r w:rsidRPr="00C42DE5">
        <w:rPr>
          <w:rFonts w:ascii="Arial" w:hAnsi="Arial" w:cs="Arial"/>
          <w:sz w:val="18"/>
          <w:szCs w:val="18"/>
        </w:rPr>
        <w:t>Cook, Cha</w:t>
      </w:r>
      <w:r>
        <w:rPr>
          <w:rFonts w:ascii="Arial" w:hAnsi="Arial" w:cs="Arial"/>
          <w:sz w:val="18"/>
          <w:szCs w:val="18"/>
        </w:rPr>
        <w:t>r</w:t>
      </w:r>
      <w:r w:rsidRPr="00C42DE5">
        <w:rPr>
          <w:rFonts w:ascii="Arial" w:hAnsi="Arial" w:cs="Arial"/>
          <w:sz w:val="18"/>
          <w:szCs w:val="18"/>
        </w:rPr>
        <w:t>les Reynard, Sarah Sampson</w:t>
      </w:r>
    </w:p>
    <w:p w14:paraId="1C0C2B1E" w14:textId="19DEE5E8" w:rsidR="00FD5306" w:rsidRDefault="00FD5306" w:rsidP="003A1378">
      <w:pPr>
        <w:jc w:val="both"/>
        <w:rPr>
          <w:rFonts w:ascii="Arial" w:hAnsi="Arial" w:cs="Arial"/>
          <w:sz w:val="18"/>
          <w:szCs w:val="18"/>
        </w:rPr>
      </w:pPr>
    </w:p>
    <w:p w14:paraId="3FC924F1" w14:textId="77777777" w:rsidR="00FD5306" w:rsidRDefault="00FD5306" w:rsidP="00FD5306">
      <w:pPr>
        <w:jc w:val="both"/>
        <w:rPr>
          <w:rFonts w:ascii="Arial" w:hAnsi="Arial" w:cs="Arial"/>
          <w:i/>
          <w:sz w:val="18"/>
          <w:szCs w:val="18"/>
        </w:rPr>
      </w:pPr>
      <w:r>
        <w:rPr>
          <w:rFonts w:ascii="Arial" w:hAnsi="Arial" w:cs="Arial"/>
          <w:i/>
          <w:sz w:val="18"/>
          <w:szCs w:val="18"/>
        </w:rPr>
        <w:t>CONDOR steering committee</w:t>
      </w:r>
    </w:p>
    <w:p w14:paraId="1726BE1D" w14:textId="31A36668" w:rsidR="00FD5306" w:rsidRDefault="00FD5306" w:rsidP="003A1378">
      <w:pPr>
        <w:jc w:val="both"/>
        <w:rPr>
          <w:rFonts w:ascii="Arial" w:hAnsi="Arial" w:cs="Arial"/>
          <w:sz w:val="18"/>
          <w:szCs w:val="18"/>
        </w:rPr>
      </w:pPr>
      <w:r>
        <w:rPr>
          <w:rFonts w:ascii="Arial" w:hAnsi="Arial" w:cs="Arial"/>
          <w:sz w:val="18"/>
          <w:szCs w:val="18"/>
        </w:rPr>
        <w:t>Richard Body, Gail Hayward, Philip Turner, Graham Prestwich, Daniel Lasserson, Brian Nicholson, Joy Allen, Pete Buckle, David Price, Mark Wilcox, Kerrie Davies, Val Tate, Julian Braybrook, Anna Halstead, Andrew Lewington, Colette Inkson, Adam Gordon, Paul Dark, Beverley Riley, Rafael Perera-Salazar, Charles Reynard</w:t>
      </w:r>
    </w:p>
    <w:p w14:paraId="37D21D53" w14:textId="12BBBB3E" w:rsidR="00EE5E71" w:rsidRDefault="00EE5E71" w:rsidP="003A1378">
      <w:pPr>
        <w:jc w:val="both"/>
        <w:rPr>
          <w:rFonts w:ascii="Arial" w:hAnsi="Arial" w:cs="Arial"/>
          <w:sz w:val="18"/>
          <w:szCs w:val="18"/>
        </w:rPr>
      </w:pPr>
    </w:p>
    <w:p w14:paraId="470AF4F1" w14:textId="76E04C2A" w:rsidR="00EE5E71" w:rsidRDefault="00EE5E71" w:rsidP="003A1378">
      <w:pPr>
        <w:jc w:val="both"/>
        <w:rPr>
          <w:rFonts w:ascii="Arial" w:hAnsi="Arial" w:cs="Arial"/>
          <w:i/>
          <w:sz w:val="18"/>
          <w:szCs w:val="18"/>
        </w:rPr>
      </w:pPr>
      <w:r w:rsidRPr="00EE5E71">
        <w:rPr>
          <w:rFonts w:ascii="Arial" w:hAnsi="Arial" w:cs="Arial"/>
          <w:i/>
          <w:sz w:val="18"/>
          <w:szCs w:val="18"/>
        </w:rPr>
        <w:t xml:space="preserve">Oxford University Hospitals </w:t>
      </w:r>
      <w:r>
        <w:rPr>
          <w:rFonts w:ascii="Arial" w:hAnsi="Arial" w:cs="Arial"/>
          <w:i/>
          <w:sz w:val="18"/>
          <w:szCs w:val="18"/>
        </w:rPr>
        <w:t>-</w:t>
      </w:r>
      <w:r w:rsidRPr="00EE5E71">
        <w:rPr>
          <w:rFonts w:ascii="Arial" w:hAnsi="Arial" w:cs="Arial"/>
          <w:i/>
          <w:sz w:val="18"/>
          <w:szCs w:val="18"/>
        </w:rPr>
        <w:t>study management team</w:t>
      </w:r>
      <w:r>
        <w:rPr>
          <w:rFonts w:ascii="Arial" w:hAnsi="Arial" w:cs="Arial"/>
          <w:i/>
          <w:sz w:val="18"/>
          <w:szCs w:val="18"/>
        </w:rPr>
        <w:t>, Oxford study site and centralised consenting team</w:t>
      </w:r>
    </w:p>
    <w:p w14:paraId="0D95D0FD" w14:textId="02CBAFFF" w:rsidR="00153849" w:rsidRDefault="00EE5E71" w:rsidP="003A1378">
      <w:pPr>
        <w:jc w:val="both"/>
        <w:rPr>
          <w:rFonts w:ascii="Arial" w:hAnsi="Arial" w:cs="Arial"/>
          <w:sz w:val="18"/>
          <w:szCs w:val="18"/>
        </w:rPr>
      </w:pPr>
      <w:r w:rsidRPr="00EE5E71">
        <w:rPr>
          <w:rFonts w:ascii="Arial" w:hAnsi="Arial" w:cs="Arial"/>
          <w:sz w:val="18"/>
          <w:szCs w:val="18"/>
        </w:rPr>
        <w:t xml:space="preserve">Mark Ainsworth, Susan Bird, Angela Bloss, </w:t>
      </w:r>
      <w:r w:rsidR="00153849">
        <w:rPr>
          <w:rFonts w:ascii="Arial" w:hAnsi="Arial" w:cs="Arial"/>
          <w:sz w:val="18"/>
          <w:szCs w:val="18"/>
        </w:rPr>
        <w:t xml:space="preserve">Wendy Byrne, </w:t>
      </w:r>
      <w:r w:rsidRPr="00EE5E71">
        <w:rPr>
          <w:rFonts w:ascii="Arial" w:hAnsi="Arial" w:cs="Arial"/>
          <w:sz w:val="18"/>
          <w:szCs w:val="18"/>
        </w:rPr>
        <w:t xml:space="preserve">Penny Carter, Mark Dolman, </w:t>
      </w:r>
      <w:r w:rsidR="00153849">
        <w:rPr>
          <w:rFonts w:ascii="Arial" w:hAnsi="Arial" w:cs="Arial"/>
          <w:sz w:val="18"/>
          <w:szCs w:val="18"/>
        </w:rPr>
        <w:t xml:space="preserve">Joy Edwards, </w:t>
      </w:r>
      <w:r w:rsidRPr="00EE5E71">
        <w:rPr>
          <w:rFonts w:ascii="Arial" w:hAnsi="Arial" w:cs="Arial"/>
          <w:sz w:val="18"/>
          <w:szCs w:val="18"/>
        </w:rPr>
        <w:t xml:space="preserve">Ranoromanana Evans, </w:t>
      </w:r>
      <w:r w:rsidR="006E37A1">
        <w:rPr>
          <w:rFonts w:ascii="Arial" w:hAnsi="Arial" w:cs="Arial"/>
          <w:sz w:val="18"/>
          <w:szCs w:val="18"/>
        </w:rPr>
        <w:t xml:space="preserve">David Eyre, </w:t>
      </w:r>
      <w:r w:rsidRPr="00EE5E71">
        <w:rPr>
          <w:rFonts w:ascii="Arial" w:hAnsi="Arial" w:cs="Arial"/>
          <w:sz w:val="18"/>
          <w:szCs w:val="18"/>
        </w:rPr>
        <w:t xml:space="preserve">Vanessa Fenech, Claire Hall, May Havinden-Williams, Elena Hazell, </w:t>
      </w:r>
      <w:r w:rsidR="00153849">
        <w:rPr>
          <w:rFonts w:ascii="Arial" w:hAnsi="Arial" w:cs="Arial"/>
          <w:sz w:val="18"/>
          <w:szCs w:val="18"/>
        </w:rPr>
        <w:t xml:space="preserve">Susan Johnston, </w:t>
      </w:r>
      <w:r w:rsidRPr="00EE5E71">
        <w:rPr>
          <w:rFonts w:ascii="Arial" w:hAnsi="Arial" w:cs="Arial"/>
          <w:sz w:val="18"/>
          <w:szCs w:val="18"/>
        </w:rPr>
        <w:t xml:space="preserve">Teresa Lockett, </w:t>
      </w:r>
      <w:r w:rsidR="008306D8">
        <w:rPr>
          <w:rFonts w:ascii="Arial" w:hAnsi="Arial" w:cs="Arial"/>
          <w:sz w:val="18"/>
          <w:szCs w:val="18"/>
        </w:rPr>
        <w:t xml:space="preserve">Philippa Matthews, </w:t>
      </w:r>
      <w:r w:rsidRPr="00EE5E71">
        <w:rPr>
          <w:rFonts w:ascii="Arial" w:hAnsi="Arial" w:cs="Arial"/>
          <w:sz w:val="18"/>
          <w:szCs w:val="18"/>
        </w:rPr>
        <w:t xml:space="preserve">Mike Newbury, Dimitris Papoulidis, Hellen Purnell, Kathryn Saunders, </w:t>
      </w:r>
      <w:r w:rsidR="008306D8">
        <w:rPr>
          <w:rFonts w:ascii="Arial" w:hAnsi="Arial" w:cs="Arial"/>
          <w:sz w:val="18"/>
          <w:szCs w:val="18"/>
        </w:rPr>
        <w:t xml:space="preserve">Nicole Stoesser, </w:t>
      </w:r>
      <w:r w:rsidR="00153849">
        <w:rPr>
          <w:rFonts w:ascii="Arial" w:hAnsi="Arial" w:cs="Arial"/>
          <w:sz w:val="18"/>
          <w:szCs w:val="18"/>
        </w:rPr>
        <w:t xml:space="preserve">Ian Wickens, </w:t>
      </w:r>
      <w:r w:rsidRPr="00EE5E71">
        <w:rPr>
          <w:rFonts w:ascii="Arial" w:hAnsi="Arial" w:cs="Arial"/>
          <w:sz w:val="18"/>
          <w:szCs w:val="18"/>
        </w:rPr>
        <w:t>Rangeni Zinyama</w:t>
      </w:r>
      <w:r w:rsidR="00DB79BA">
        <w:rPr>
          <w:rFonts w:ascii="Arial" w:hAnsi="Arial" w:cs="Arial"/>
          <w:sz w:val="18"/>
          <w:szCs w:val="18"/>
        </w:rPr>
        <w:t>.</w:t>
      </w:r>
    </w:p>
    <w:p w14:paraId="19A29946" w14:textId="0DDED1C0" w:rsidR="00EE5E71" w:rsidRDefault="00EE5E71" w:rsidP="003A1378">
      <w:pPr>
        <w:jc w:val="both"/>
        <w:rPr>
          <w:rFonts w:ascii="Arial" w:hAnsi="Arial" w:cs="Arial"/>
          <w:i/>
          <w:sz w:val="18"/>
          <w:szCs w:val="18"/>
        </w:rPr>
      </w:pPr>
    </w:p>
    <w:p w14:paraId="38216986" w14:textId="755DB538" w:rsidR="00EE5E71" w:rsidRDefault="00EE5E71" w:rsidP="003A1378">
      <w:pPr>
        <w:jc w:val="both"/>
        <w:rPr>
          <w:rFonts w:ascii="Arial" w:hAnsi="Arial" w:cs="Arial"/>
          <w:i/>
          <w:sz w:val="18"/>
          <w:szCs w:val="18"/>
        </w:rPr>
      </w:pPr>
      <w:r>
        <w:rPr>
          <w:rFonts w:ascii="Arial" w:hAnsi="Arial" w:cs="Arial"/>
          <w:i/>
          <w:sz w:val="18"/>
          <w:szCs w:val="18"/>
        </w:rPr>
        <w:t>Manchester team- study management team and Manchester site</w:t>
      </w:r>
    </w:p>
    <w:p w14:paraId="1D748B7F" w14:textId="3F01A55E" w:rsidR="00EE5E71" w:rsidRDefault="00EE5E71" w:rsidP="003A1378">
      <w:pPr>
        <w:jc w:val="both"/>
        <w:rPr>
          <w:rFonts w:ascii="Arial" w:hAnsi="Arial" w:cs="Arial"/>
          <w:sz w:val="18"/>
          <w:szCs w:val="18"/>
        </w:rPr>
      </w:pPr>
      <w:r w:rsidRPr="00EE5E71">
        <w:rPr>
          <w:rFonts w:ascii="Arial" w:hAnsi="Arial" w:cs="Arial"/>
          <w:sz w:val="18"/>
          <w:szCs w:val="18"/>
        </w:rPr>
        <w:t>Alison Allanson, Miriam Avery, Carol Beane, Margaret Broughton-Smith, Samatha Chilcott, Richard Clarke, Caroline Coulson, Sally Hammond, Joanne Henry, Heena Mistry, Akhila Muthuswamy, Thanh Pham, Shelha Siddiqui, Ani</w:t>
      </w:r>
      <w:r w:rsidR="009F20C9">
        <w:rPr>
          <w:rFonts w:ascii="Arial" w:hAnsi="Arial" w:cs="Arial"/>
          <w:sz w:val="18"/>
          <w:szCs w:val="18"/>
        </w:rPr>
        <w:t>la</w:t>
      </w:r>
      <w:r w:rsidRPr="00EE5E71">
        <w:rPr>
          <w:rFonts w:ascii="Arial" w:hAnsi="Arial" w:cs="Arial"/>
          <w:sz w:val="18"/>
          <w:szCs w:val="18"/>
        </w:rPr>
        <w:t xml:space="preserve"> Sukumaran, Ellie Watson, Louise Woodhead, Bind</w:t>
      </w:r>
      <w:r w:rsidR="00160B3C">
        <w:rPr>
          <w:rFonts w:ascii="Arial" w:hAnsi="Arial" w:cs="Arial"/>
          <w:sz w:val="18"/>
          <w:szCs w:val="18"/>
        </w:rPr>
        <w:t>h</w:t>
      </w:r>
      <w:r w:rsidRPr="00EE5E71">
        <w:rPr>
          <w:rFonts w:ascii="Arial" w:hAnsi="Arial" w:cs="Arial"/>
          <w:sz w:val="18"/>
          <w:szCs w:val="18"/>
        </w:rPr>
        <w:t>u Xavier</w:t>
      </w:r>
    </w:p>
    <w:p w14:paraId="31930C3D" w14:textId="71494A7D" w:rsidR="005B7362" w:rsidRDefault="005B7362" w:rsidP="003A1378">
      <w:pPr>
        <w:jc w:val="both"/>
        <w:rPr>
          <w:rFonts w:ascii="Arial" w:hAnsi="Arial" w:cs="Arial"/>
          <w:sz w:val="18"/>
          <w:szCs w:val="18"/>
        </w:rPr>
      </w:pPr>
    </w:p>
    <w:p w14:paraId="23BB7E72" w14:textId="74E5F397" w:rsidR="005B7362" w:rsidRDefault="00F44987" w:rsidP="003A1378">
      <w:pPr>
        <w:jc w:val="both"/>
        <w:rPr>
          <w:rFonts w:ascii="Arial" w:hAnsi="Arial" w:cs="Arial"/>
          <w:i/>
          <w:sz w:val="18"/>
          <w:szCs w:val="18"/>
        </w:rPr>
      </w:pPr>
      <w:r>
        <w:rPr>
          <w:rFonts w:ascii="Arial" w:hAnsi="Arial" w:cs="Arial"/>
          <w:i/>
          <w:sz w:val="18"/>
          <w:szCs w:val="18"/>
        </w:rPr>
        <w:t xml:space="preserve">West </w:t>
      </w:r>
      <w:r w:rsidR="005B7362">
        <w:rPr>
          <w:rFonts w:ascii="Arial" w:hAnsi="Arial" w:cs="Arial"/>
          <w:i/>
          <w:sz w:val="18"/>
          <w:szCs w:val="18"/>
        </w:rPr>
        <w:t>Midlands team- consenting team</w:t>
      </w:r>
    </w:p>
    <w:p w14:paraId="52F7B147" w14:textId="564259AB" w:rsidR="005B7362" w:rsidRPr="005B7362" w:rsidRDefault="005B7362" w:rsidP="003A1378">
      <w:pPr>
        <w:jc w:val="both"/>
        <w:rPr>
          <w:rFonts w:ascii="Arial" w:hAnsi="Arial" w:cs="Arial"/>
          <w:sz w:val="18"/>
          <w:szCs w:val="18"/>
        </w:rPr>
      </w:pPr>
      <w:r>
        <w:rPr>
          <w:rFonts w:ascii="Arial" w:hAnsi="Arial" w:cs="Arial"/>
          <w:sz w:val="18"/>
          <w:szCs w:val="18"/>
        </w:rPr>
        <w:t>Pam Devall, Kelly Hollier, David Tyrrell, Juan Dobaldo Pavon, Carly Tibbins, Gurvinder Gill</w:t>
      </w:r>
      <w:r w:rsidR="00E160F4">
        <w:rPr>
          <w:rFonts w:ascii="Arial" w:hAnsi="Arial" w:cs="Arial"/>
          <w:sz w:val="18"/>
          <w:szCs w:val="18"/>
        </w:rPr>
        <w:t xml:space="preserve">, Jane Mitchell, Jane Wilcocks, Anuradha Krishna, Jake Osbourne Wylde, Jewel Jones Nwanaforo, Sophie Moore. </w:t>
      </w:r>
    </w:p>
    <w:p w14:paraId="1ABEF02E" w14:textId="2A10D59A" w:rsidR="000650A6" w:rsidRDefault="000650A6" w:rsidP="003A1378">
      <w:pPr>
        <w:jc w:val="both"/>
        <w:rPr>
          <w:rFonts w:ascii="Arial" w:hAnsi="Arial" w:cs="Arial"/>
          <w:sz w:val="18"/>
          <w:szCs w:val="18"/>
        </w:rPr>
      </w:pPr>
    </w:p>
    <w:p w14:paraId="62DF33F5" w14:textId="016DC316" w:rsidR="000650A6" w:rsidRDefault="000650A6" w:rsidP="003A1378">
      <w:pPr>
        <w:jc w:val="both"/>
        <w:rPr>
          <w:rFonts w:ascii="Arial" w:hAnsi="Arial" w:cs="Arial"/>
          <w:i/>
          <w:sz w:val="18"/>
          <w:szCs w:val="18"/>
        </w:rPr>
      </w:pPr>
      <w:r>
        <w:rPr>
          <w:rFonts w:ascii="Arial" w:hAnsi="Arial" w:cs="Arial"/>
          <w:i/>
          <w:sz w:val="18"/>
          <w:szCs w:val="18"/>
        </w:rPr>
        <w:t>West of England CRN</w:t>
      </w:r>
    </w:p>
    <w:p w14:paraId="7EB42367" w14:textId="5FBF251F" w:rsidR="000650A6" w:rsidRPr="000650A6" w:rsidRDefault="000650A6" w:rsidP="000650A6">
      <w:pPr>
        <w:jc w:val="both"/>
        <w:rPr>
          <w:rFonts w:ascii="Arial" w:hAnsi="Arial" w:cs="Arial"/>
          <w:sz w:val="18"/>
          <w:szCs w:val="18"/>
        </w:rPr>
      </w:pPr>
      <w:r w:rsidRPr="000650A6">
        <w:rPr>
          <w:rFonts w:ascii="Arial" w:hAnsi="Arial" w:cs="Arial"/>
          <w:sz w:val="18"/>
          <w:szCs w:val="18"/>
        </w:rPr>
        <w:t>Geeta Ghadiali, Zoe Lampshire, Shaolin Chidavaenzi, Andrew Harris</w:t>
      </w:r>
    </w:p>
    <w:p w14:paraId="1289EB7B" w14:textId="501B905E" w:rsidR="00EE5E71" w:rsidRDefault="00EE5E71" w:rsidP="003A1378">
      <w:pPr>
        <w:jc w:val="both"/>
        <w:rPr>
          <w:rFonts w:ascii="Arial" w:hAnsi="Arial" w:cs="Arial"/>
          <w:i/>
          <w:sz w:val="18"/>
          <w:szCs w:val="18"/>
        </w:rPr>
      </w:pPr>
    </w:p>
    <w:p w14:paraId="4C7E5950" w14:textId="20CB6E3C" w:rsidR="00EE5E71" w:rsidRDefault="00EE5E71" w:rsidP="003A1378">
      <w:pPr>
        <w:jc w:val="both"/>
        <w:rPr>
          <w:rFonts w:ascii="Arial" w:hAnsi="Arial" w:cs="Arial"/>
          <w:i/>
          <w:sz w:val="18"/>
          <w:szCs w:val="18"/>
        </w:rPr>
      </w:pPr>
      <w:r>
        <w:rPr>
          <w:rFonts w:ascii="Arial" w:hAnsi="Arial" w:cs="Arial"/>
          <w:i/>
          <w:sz w:val="18"/>
          <w:szCs w:val="18"/>
        </w:rPr>
        <w:t>Birmingham study site</w:t>
      </w:r>
    </w:p>
    <w:p w14:paraId="3750AAB8" w14:textId="4499C3CE" w:rsidR="00EE5E71" w:rsidRDefault="00EE5E71" w:rsidP="003A1378">
      <w:pPr>
        <w:jc w:val="both"/>
        <w:rPr>
          <w:rFonts w:ascii="Arial" w:hAnsi="Arial" w:cs="Arial"/>
          <w:sz w:val="18"/>
          <w:szCs w:val="18"/>
        </w:rPr>
      </w:pPr>
      <w:r w:rsidRPr="00EE5E71">
        <w:rPr>
          <w:rFonts w:ascii="Arial" w:hAnsi="Arial" w:cs="Arial"/>
          <w:sz w:val="18"/>
          <w:szCs w:val="18"/>
        </w:rPr>
        <w:t>Linda Wagstaff</w:t>
      </w:r>
      <w:r w:rsidR="007E7735">
        <w:rPr>
          <w:rFonts w:ascii="Arial" w:hAnsi="Arial" w:cs="Arial"/>
          <w:sz w:val="18"/>
          <w:szCs w:val="18"/>
        </w:rPr>
        <w:t>, Victoria Hardy, Lucy Hughes, Wendy Osbourne, Julie Timmins</w:t>
      </w:r>
    </w:p>
    <w:p w14:paraId="126141D2" w14:textId="3826D940" w:rsidR="00EE5E71" w:rsidRDefault="00EE5E71" w:rsidP="003A1378">
      <w:pPr>
        <w:jc w:val="both"/>
        <w:rPr>
          <w:rFonts w:ascii="Arial" w:hAnsi="Arial" w:cs="Arial"/>
          <w:sz w:val="18"/>
          <w:szCs w:val="18"/>
        </w:rPr>
      </w:pPr>
    </w:p>
    <w:p w14:paraId="45693C6C" w14:textId="009431E2" w:rsidR="00EE5E71" w:rsidRDefault="00EE5E71" w:rsidP="003A1378">
      <w:pPr>
        <w:jc w:val="both"/>
        <w:rPr>
          <w:rFonts w:ascii="Arial" w:hAnsi="Arial" w:cs="Arial"/>
          <w:i/>
          <w:sz w:val="18"/>
          <w:szCs w:val="18"/>
        </w:rPr>
      </w:pPr>
      <w:r>
        <w:rPr>
          <w:rFonts w:ascii="Arial" w:hAnsi="Arial" w:cs="Arial"/>
          <w:i/>
          <w:sz w:val="18"/>
          <w:szCs w:val="18"/>
        </w:rPr>
        <w:t>Swindon study site</w:t>
      </w:r>
    </w:p>
    <w:p w14:paraId="504A5FED" w14:textId="663AD40B" w:rsidR="00EE5E71" w:rsidRDefault="00EE5E71" w:rsidP="003A1378">
      <w:pPr>
        <w:jc w:val="both"/>
        <w:rPr>
          <w:rFonts w:ascii="Arial" w:hAnsi="Arial" w:cs="Arial"/>
          <w:sz w:val="18"/>
          <w:szCs w:val="18"/>
        </w:rPr>
      </w:pPr>
      <w:r w:rsidRPr="00EE5E71">
        <w:rPr>
          <w:rFonts w:ascii="Arial" w:hAnsi="Arial" w:cs="Arial"/>
          <w:sz w:val="18"/>
          <w:szCs w:val="18"/>
        </w:rPr>
        <w:t>Suzannah Pegler</w:t>
      </w:r>
      <w:r w:rsidR="0021461A">
        <w:rPr>
          <w:rFonts w:ascii="Arial" w:hAnsi="Arial" w:cs="Arial"/>
          <w:sz w:val="18"/>
          <w:szCs w:val="18"/>
        </w:rPr>
        <w:t xml:space="preserve">, </w:t>
      </w:r>
      <w:r w:rsidR="0021461A" w:rsidRPr="000650A6">
        <w:rPr>
          <w:rFonts w:ascii="Arial" w:hAnsi="Arial" w:cs="Arial"/>
          <w:sz w:val="18"/>
          <w:szCs w:val="18"/>
        </w:rPr>
        <w:t>Joe  Stevens,</w:t>
      </w:r>
    </w:p>
    <w:p w14:paraId="3C1AFC22" w14:textId="72476BD5" w:rsidR="00EE5E71" w:rsidRDefault="00EE5E71" w:rsidP="003A1378">
      <w:pPr>
        <w:jc w:val="both"/>
        <w:rPr>
          <w:rFonts w:ascii="Arial" w:hAnsi="Arial" w:cs="Arial"/>
          <w:sz w:val="18"/>
          <w:szCs w:val="18"/>
        </w:rPr>
      </w:pPr>
    </w:p>
    <w:p w14:paraId="3900AF29" w14:textId="76DB08CC" w:rsidR="00EE5E71" w:rsidRPr="00E160F4" w:rsidRDefault="00EE5E71" w:rsidP="003A1378">
      <w:pPr>
        <w:jc w:val="both"/>
        <w:rPr>
          <w:rFonts w:ascii="Arial" w:hAnsi="Arial" w:cs="Arial"/>
          <w:i/>
          <w:sz w:val="18"/>
          <w:szCs w:val="18"/>
        </w:rPr>
      </w:pPr>
      <w:r w:rsidRPr="00E160F4">
        <w:rPr>
          <w:rFonts w:ascii="Arial" w:hAnsi="Arial" w:cs="Arial"/>
          <w:i/>
          <w:sz w:val="18"/>
          <w:szCs w:val="18"/>
        </w:rPr>
        <w:t>Stoke study site</w:t>
      </w:r>
    </w:p>
    <w:p w14:paraId="4BED8148" w14:textId="29BDA148" w:rsidR="00EE5E71" w:rsidRDefault="00EE5E71" w:rsidP="003A1378">
      <w:pPr>
        <w:jc w:val="both"/>
        <w:rPr>
          <w:rFonts w:ascii="Arial" w:hAnsi="Arial" w:cs="Arial"/>
          <w:sz w:val="18"/>
          <w:szCs w:val="18"/>
        </w:rPr>
      </w:pPr>
      <w:r w:rsidRPr="00E160F4">
        <w:rPr>
          <w:rFonts w:ascii="Arial" w:hAnsi="Arial" w:cs="Arial"/>
          <w:sz w:val="18"/>
          <w:szCs w:val="18"/>
        </w:rPr>
        <w:t xml:space="preserve">Anita Agasu, Mary-Anne Darby, Marion Evans, </w:t>
      </w:r>
      <w:r w:rsidR="00E160F4" w:rsidRPr="00E160F4">
        <w:rPr>
          <w:rFonts w:ascii="Arial" w:hAnsi="Arial" w:cs="Arial"/>
          <w:sz w:val="18"/>
          <w:szCs w:val="18"/>
        </w:rPr>
        <w:t>Emily Eaton, Herika Willis, Steve Hurdowar, Sharon Kempson</w:t>
      </w:r>
    </w:p>
    <w:p w14:paraId="22274F5B" w14:textId="591C0EEE" w:rsidR="00C96448" w:rsidRDefault="00C96448" w:rsidP="003A1378">
      <w:pPr>
        <w:jc w:val="both"/>
        <w:rPr>
          <w:rFonts w:ascii="Arial" w:hAnsi="Arial" w:cs="Arial"/>
          <w:sz w:val="18"/>
          <w:szCs w:val="18"/>
        </w:rPr>
      </w:pPr>
    </w:p>
    <w:p w14:paraId="24759522" w14:textId="19CE98A5" w:rsidR="00C96448" w:rsidRPr="00C96448" w:rsidRDefault="00C96448" w:rsidP="003A1378">
      <w:pPr>
        <w:jc w:val="both"/>
        <w:rPr>
          <w:rFonts w:ascii="Arial" w:hAnsi="Arial" w:cs="Arial"/>
          <w:i/>
          <w:sz w:val="18"/>
          <w:szCs w:val="18"/>
        </w:rPr>
      </w:pPr>
      <w:r w:rsidRPr="00C96448">
        <w:rPr>
          <w:rFonts w:ascii="Arial" w:hAnsi="Arial" w:cs="Arial"/>
          <w:i/>
          <w:sz w:val="18"/>
          <w:szCs w:val="18"/>
        </w:rPr>
        <w:t>Sheffield study site</w:t>
      </w:r>
    </w:p>
    <w:p w14:paraId="25C2AC76" w14:textId="194D43B0" w:rsidR="00C96448" w:rsidRDefault="00C96448" w:rsidP="003A1378">
      <w:pPr>
        <w:jc w:val="both"/>
        <w:rPr>
          <w:rFonts w:ascii="Arial" w:hAnsi="Arial" w:cs="Arial"/>
          <w:sz w:val="18"/>
          <w:szCs w:val="18"/>
        </w:rPr>
      </w:pPr>
      <w:r w:rsidRPr="00C96448">
        <w:rPr>
          <w:rFonts w:ascii="Arial" w:hAnsi="Arial" w:cs="Arial"/>
          <w:sz w:val="18"/>
          <w:szCs w:val="18"/>
        </w:rPr>
        <w:t>Janet Field, Joanne Jackman, Scott Nicol, Mark Pinkerton, Michelle Platton, Lisa Zeidan</w:t>
      </w:r>
      <w:r w:rsidR="00204BA3">
        <w:rPr>
          <w:rFonts w:ascii="Arial" w:hAnsi="Arial" w:cs="Arial"/>
          <w:sz w:val="18"/>
          <w:szCs w:val="18"/>
        </w:rPr>
        <w:t>, Ella Baldwin</w:t>
      </w:r>
    </w:p>
    <w:p w14:paraId="574E59F9" w14:textId="73DE8FDA" w:rsidR="00C96448" w:rsidRDefault="00C96448" w:rsidP="003A1378">
      <w:pPr>
        <w:jc w:val="both"/>
        <w:rPr>
          <w:rFonts w:ascii="Arial" w:hAnsi="Arial" w:cs="Arial"/>
          <w:sz w:val="18"/>
          <w:szCs w:val="18"/>
        </w:rPr>
      </w:pPr>
    </w:p>
    <w:p w14:paraId="3C419BB3" w14:textId="281B69EA" w:rsidR="00C96448" w:rsidRPr="00C96448" w:rsidRDefault="00C96448" w:rsidP="003A1378">
      <w:pPr>
        <w:jc w:val="both"/>
        <w:rPr>
          <w:rFonts w:ascii="Arial" w:hAnsi="Arial" w:cs="Arial"/>
          <w:i/>
          <w:sz w:val="18"/>
          <w:szCs w:val="18"/>
        </w:rPr>
      </w:pPr>
      <w:r w:rsidRPr="00C96448">
        <w:rPr>
          <w:rFonts w:ascii="Arial" w:hAnsi="Arial" w:cs="Arial"/>
          <w:i/>
          <w:sz w:val="18"/>
          <w:szCs w:val="18"/>
        </w:rPr>
        <w:t>Peterborough study site</w:t>
      </w:r>
    </w:p>
    <w:p w14:paraId="59C46E8E" w14:textId="7C7A2C85" w:rsidR="00C96448" w:rsidRDefault="00C96448" w:rsidP="003A1378">
      <w:pPr>
        <w:jc w:val="both"/>
        <w:rPr>
          <w:rFonts w:ascii="Arial" w:hAnsi="Arial" w:cs="Arial"/>
          <w:sz w:val="18"/>
          <w:szCs w:val="18"/>
        </w:rPr>
      </w:pPr>
      <w:r w:rsidRPr="00C96448">
        <w:rPr>
          <w:rFonts w:ascii="Arial" w:hAnsi="Arial" w:cs="Arial"/>
          <w:sz w:val="18"/>
          <w:szCs w:val="18"/>
        </w:rPr>
        <w:t>Lorr</w:t>
      </w:r>
      <w:r w:rsidR="00136BBB">
        <w:rPr>
          <w:rFonts w:ascii="Arial" w:hAnsi="Arial" w:cs="Arial"/>
          <w:sz w:val="18"/>
          <w:szCs w:val="18"/>
        </w:rPr>
        <w:t>ai</w:t>
      </w:r>
      <w:r w:rsidRPr="00C96448">
        <w:rPr>
          <w:rFonts w:ascii="Arial" w:hAnsi="Arial" w:cs="Arial"/>
          <w:sz w:val="18"/>
          <w:szCs w:val="18"/>
        </w:rPr>
        <w:t>ne Archer, Marina Bishop, Gloria Calderon, Siobhan Campbell, Rima Colston, Marie Corcoran, Laura Costello, Codie F</w:t>
      </w:r>
      <w:r w:rsidR="00136BBB">
        <w:rPr>
          <w:rFonts w:ascii="Arial" w:hAnsi="Arial" w:cs="Arial"/>
          <w:sz w:val="18"/>
          <w:szCs w:val="18"/>
        </w:rPr>
        <w:t>a</w:t>
      </w:r>
      <w:r w:rsidRPr="00C96448">
        <w:rPr>
          <w:rFonts w:ascii="Arial" w:hAnsi="Arial" w:cs="Arial"/>
          <w:sz w:val="18"/>
          <w:szCs w:val="18"/>
        </w:rPr>
        <w:t xml:space="preserve">hey, Sally-Anne </w:t>
      </w:r>
      <w:r w:rsidR="00136BBB">
        <w:rPr>
          <w:rFonts w:ascii="Arial" w:hAnsi="Arial" w:cs="Arial"/>
          <w:sz w:val="18"/>
          <w:szCs w:val="18"/>
        </w:rPr>
        <w:t>H</w:t>
      </w:r>
      <w:r w:rsidRPr="00C96448">
        <w:rPr>
          <w:rFonts w:ascii="Arial" w:hAnsi="Arial" w:cs="Arial"/>
          <w:sz w:val="18"/>
          <w:szCs w:val="18"/>
        </w:rPr>
        <w:t>urford, Katie Keating-Fedders, Rachel Michel</w:t>
      </w:r>
    </w:p>
    <w:p w14:paraId="6E178057" w14:textId="77777777" w:rsidR="008F2206" w:rsidRDefault="008F2206" w:rsidP="008F2206">
      <w:pPr>
        <w:jc w:val="both"/>
        <w:rPr>
          <w:rFonts w:ascii="Arial" w:hAnsi="Arial" w:cs="Arial"/>
          <w:i/>
          <w:sz w:val="18"/>
          <w:szCs w:val="18"/>
        </w:rPr>
      </w:pPr>
    </w:p>
    <w:p w14:paraId="1492F5EA" w14:textId="3AFB716B" w:rsidR="00C96448" w:rsidRPr="008F2206" w:rsidRDefault="008F2206" w:rsidP="003A1378">
      <w:pPr>
        <w:jc w:val="both"/>
        <w:rPr>
          <w:rFonts w:ascii="Arial" w:hAnsi="Arial" w:cs="Arial"/>
          <w:sz w:val="18"/>
          <w:szCs w:val="18"/>
        </w:rPr>
      </w:pPr>
      <w:r w:rsidRPr="008F2206">
        <w:rPr>
          <w:rFonts w:ascii="Arial" w:hAnsi="Arial" w:cs="Arial"/>
          <w:i/>
          <w:sz w:val="18"/>
          <w:szCs w:val="18"/>
        </w:rPr>
        <w:t>The Newcastle-upon-Tyne Hospitals NHS Foundation Trust</w:t>
      </w:r>
      <w:r>
        <w:rPr>
          <w:rFonts w:ascii="Arial" w:hAnsi="Arial" w:cs="Arial"/>
          <w:i/>
          <w:sz w:val="18"/>
          <w:szCs w:val="18"/>
        </w:rPr>
        <w:t>/Newcastle study site</w:t>
      </w:r>
    </w:p>
    <w:p w14:paraId="0C3DE5AE" w14:textId="5A989DF5" w:rsidR="00C96448" w:rsidRDefault="00C96448" w:rsidP="003A1378">
      <w:pPr>
        <w:jc w:val="both"/>
        <w:rPr>
          <w:rFonts w:ascii="Arial" w:hAnsi="Arial" w:cs="Arial"/>
          <w:sz w:val="18"/>
          <w:szCs w:val="18"/>
        </w:rPr>
      </w:pPr>
      <w:r w:rsidRPr="00C96448">
        <w:rPr>
          <w:rFonts w:ascii="Arial" w:hAnsi="Arial" w:cs="Arial"/>
          <w:sz w:val="18"/>
          <w:szCs w:val="18"/>
        </w:rPr>
        <w:t xml:space="preserve">Beverley Buck, John Davis, Anika Goel, </w:t>
      </w:r>
      <w:r w:rsidR="008F2206">
        <w:rPr>
          <w:rFonts w:ascii="Arial" w:hAnsi="Arial" w:cs="Arial"/>
          <w:sz w:val="18"/>
          <w:szCs w:val="18"/>
        </w:rPr>
        <w:t xml:space="preserve">David Green, </w:t>
      </w:r>
      <w:r w:rsidRPr="00C96448">
        <w:rPr>
          <w:rFonts w:ascii="Arial" w:hAnsi="Arial" w:cs="Arial"/>
          <w:sz w:val="18"/>
          <w:szCs w:val="18"/>
        </w:rPr>
        <w:t xml:space="preserve">Ashley Price, Susan Ridge, </w:t>
      </w:r>
      <w:r w:rsidR="008F2206">
        <w:rPr>
          <w:rFonts w:ascii="Arial" w:hAnsi="Arial" w:cs="Arial"/>
          <w:sz w:val="18"/>
          <w:szCs w:val="18"/>
        </w:rPr>
        <w:t xml:space="preserve">Bertie Rowell, Cara Tomas-Smith, </w:t>
      </w:r>
      <w:r w:rsidRPr="00C96448">
        <w:rPr>
          <w:rFonts w:ascii="Arial" w:hAnsi="Arial" w:cs="Arial"/>
          <w:sz w:val="18"/>
          <w:szCs w:val="18"/>
        </w:rPr>
        <w:t>Kimerbley Webster, Barbara Wilson</w:t>
      </w:r>
      <w:r w:rsidR="008F2206">
        <w:rPr>
          <w:rFonts w:ascii="Arial" w:hAnsi="Arial" w:cs="Arial"/>
          <w:sz w:val="18"/>
          <w:szCs w:val="18"/>
        </w:rPr>
        <w:t>, Fiona Yelnoorkar</w:t>
      </w:r>
    </w:p>
    <w:p w14:paraId="06A8AD5F" w14:textId="100FD248" w:rsidR="00C96448" w:rsidRDefault="00C96448" w:rsidP="003A1378">
      <w:pPr>
        <w:jc w:val="both"/>
        <w:rPr>
          <w:rFonts w:ascii="Arial" w:hAnsi="Arial" w:cs="Arial"/>
          <w:sz w:val="18"/>
          <w:szCs w:val="18"/>
        </w:rPr>
      </w:pPr>
    </w:p>
    <w:p w14:paraId="4A02D38C" w14:textId="6F438451" w:rsidR="00C96448" w:rsidRDefault="00C96448" w:rsidP="003A1378">
      <w:pPr>
        <w:jc w:val="both"/>
        <w:rPr>
          <w:rFonts w:ascii="Arial" w:hAnsi="Arial" w:cs="Arial"/>
          <w:i/>
          <w:sz w:val="18"/>
          <w:szCs w:val="18"/>
        </w:rPr>
      </w:pPr>
      <w:r>
        <w:rPr>
          <w:rFonts w:ascii="Arial" w:hAnsi="Arial" w:cs="Arial"/>
          <w:i/>
          <w:sz w:val="18"/>
          <w:szCs w:val="18"/>
        </w:rPr>
        <w:t>Liverpool study site</w:t>
      </w:r>
    </w:p>
    <w:p w14:paraId="0C38074C" w14:textId="3C2445A6" w:rsidR="00C96448" w:rsidRDefault="00C96448" w:rsidP="003A1378">
      <w:pPr>
        <w:jc w:val="both"/>
        <w:rPr>
          <w:rFonts w:ascii="Arial" w:hAnsi="Arial" w:cs="Arial"/>
          <w:sz w:val="18"/>
          <w:szCs w:val="18"/>
        </w:rPr>
      </w:pPr>
      <w:r w:rsidRPr="00C96448">
        <w:rPr>
          <w:rFonts w:ascii="Arial" w:hAnsi="Arial" w:cs="Arial"/>
          <w:sz w:val="18"/>
          <w:szCs w:val="18"/>
        </w:rPr>
        <w:t xml:space="preserve">James Connolly, </w:t>
      </w:r>
      <w:r w:rsidR="00BA7A05">
        <w:rPr>
          <w:rFonts w:ascii="Arial" w:hAnsi="Arial" w:cs="Arial"/>
          <w:sz w:val="18"/>
          <w:szCs w:val="18"/>
        </w:rPr>
        <w:t xml:space="preserve">Sarah Dyas, </w:t>
      </w:r>
      <w:r w:rsidR="00CF0875">
        <w:rPr>
          <w:rFonts w:ascii="Arial" w:hAnsi="Arial" w:cs="Arial"/>
          <w:sz w:val="18"/>
          <w:szCs w:val="18"/>
        </w:rPr>
        <w:t xml:space="preserve">Becky Evans, </w:t>
      </w:r>
      <w:r w:rsidRPr="00C96448">
        <w:rPr>
          <w:rFonts w:ascii="Arial" w:hAnsi="Arial" w:cs="Arial"/>
          <w:sz w:val="18"/>
          <w:szCs w:val="18"/>
        </w:rPr>
        <w:t>Kerry Gibbons, Gemma Nanson, Hema Thomas, Philip Walker</w:t>
      </w:r>
    </w:p>
    <w:p w14:paraId="20975B5D" w14:textId="6998C750" w:rsidR="00C96448" w:rsidRDefault="00C96448" w:rsidP="003A1378">
      <w:pPr>
        <w:jc w:val="both"/>
        <w:rPr>
          <w:rFonts w:ascii="Arial" w:hAnsi="Arial" w:cs="Arial"/>
          <w:sz w:val="18"/>
          <w:szCs w:val="18"/>
        </w:rPr>
      </w:pPr>
    </w:p>
    <w:p w14:paraId="252341AC" w14:textId="4EFB8212" w:rsidR="00C96448" w:rsidRDefault="00C96448" w:rsidP="003A1378">
      <w:pPr>
        <w:jc w:val="both"/>
        <w:rPr>
          <w:rFonts w:ascii="Arial" w:hAnsi="Arial" w:cs="Arial"/>
          <w:i/>
          <w:sz w:val="18"/>
          <w:szCs w:val="18"/>
        </w:rPr>
      </w:pPr>
      <w:r w:rsidRPr="00C96448">
        <w:rPr>
          <w:rFonts w:ascii="Arial" w:hAnsi="Arial" w:cs="Arial"/>
          <w:i/>
          <w:sz w:val="18"/>
          <w:szCs w:val="18"/>
        </w:rPr>
        <w:t>Leicester study site</w:t>
      </w:r>
    </w:p>
    <w:p w14:paraId="21B9BAEB" w14:textId="75298608" w:rsidR="00C96448" w:rsidRDefault="00C96448" w:rsidP="003A1378">
      <w:pPr>
        <w:jc w:val="both"/>
        <w:rPr>
          <w:rFonts w:ascii="Arial" w:hAnsi="Arial" w:cs="Arial"/>
          <w:sz w:val="18"/>
          <w:szCs w:val="18"/>
        </w:rPr>
      </w:pPr>
      <w:r w:rsidRPr="00C96448">
        <w:rPr>
          <w:rFonts w:ascii="Arial" w:hAnsi="Arial" w:cs="Arial"/>
          <w:sz w:val="18"/>
          <w:szCs w:val="18"/>
        </w:rPr>
        <w:t xml:space="preserve">Natalie Draper, </w:t>
      </w:r>
      <w:r w:rsidR="00391F26">
        <w:rPr>
          <w:rFonts w:ascii="Arial" w:hAnsi="Arial" w:cs="Arial"/>
          <w:sz w:val="18"/>
          <w:szCs w:val="18"/>
        </w:rPr>
        <w:t xml:space="preserve">Kate Gilmour </w:t>
      </w:r>
      <w:r w:rsidRPr="00C96448">
        <w:rPr>
          <w:rFonts w:ascii="Arial" w:hAnsi="Arial" w:cs="Arial"/>
          <w:sz w:val="18"/>
          <w:szCs w:val="18"/>
        </w:rPr>
        <w:t xml:space="preserve">Kim Hicklin, Juliet Jones, </w:t>
      </w:r>
      <w:r w:rsidR="00391F26">
        <w:rPr>
          <w:rFonts w:ascii="Arial" w:hAnsi="Arial" w:cs="Arial"/>
          <w:sz w:val="18"/>
          <w:szCs w:val="18"/>
        </w:rPr>
        <w:t xml:space="preserve">Karen Pearson, </w:t>
      </w:r>
      <w:r w:rsidRPr="00C96448">
        <w:rPr>
          <w:rFonts w:ascii="Arial" w:hAnsi="Arial" w:cs="Arial"/>
          <w:sz w:val="18"/>
          <w:szCs w:val="18"/>
        </w:rPr>
        <w:t>Lucy Sheppard</w:t>
      </w:r>
    </w:p>
    <w:p w14:paraId="31BCEC92" w14:textId="37CC7408" w:rsidR="00C96448" w:rsidRDefault="00C96448" w:rsidP="003A1378">
      <w:pPr>
        <w:jc w:val="both"/>
        <w:rPr>
          <w:rFonts w:ascii="Arial" w:hAnsi="Arial" w:cs="Arial"/>
          <w:sz w:val="18"/>
          <w:szCs w:val="18"/>
        </w:rPr>
      </w:pPr>
    </w:p>
    <w:p w14:paraId="398C2C53" w14:textId="0EBC808D" w:rsidR="00C96448" w:rsidRDefault="00C96448" w:rsidP="003A1378">
      <w:pPr>
        <w:jc w:val="both"/>
        <w:rPr>
          <w:rFonts w:ascii="Arial" w:hAnsi="Arial" w:cs="Arial"/>
          <w:i/>
          <w:sz w:val="18"/>
          <w:szCs w:val="18"/>
        </w:rPr>
      </w:pPr>
      <w:r>
        <w:rPr>
          <w:rFonts w:ascii="Arial" w:hAnsi="Arial" w:cs="Arial"/>
          <w:i/>
          <w:sz w:val="18"/>
          <w:szCs w:val="18"/>
        </w:rPr>
        <w:t>Leeds study site</w:t>
      </w:r>
    </w:p>
    <w:p w14:paraId="709C5CCA" w14:textId="166B29B1" w:rsidR="00C96448" w:rsidRDefault="00204BA3" w:rsidP="003A1378">
      <w:pPr>
        <w:jc w:val="both"/>
        <w:rPr>
          <w:rFonts w:ascii="Arial" w:hAnsi="Arial" w:cs="Arial"/>
          <w:sz w:val="18"/>
          <w:szCs w:val="18"/>
        </w:rPr>
      </w:pPr>
      <w:r>
        <w:rPr>
          <w:rFonts w:ascii="Arial" w:hAnsi="Arial" w:cs="Arial"/>
          <w:sz w:val="18"/>
          <w:szCs w:val="18"/>
        </w:rPr>
        <w:t xml:space="preserve">Carla Bratten, </w:t>
      </w:r>
      <w:r w:rsidR="00C96448" w:rsidRPr="00C96448">
        <w:rPr>
          <w:rFonts w:ascii="Arial" w:hAnsi="Arial" w:cs="Arial"/>
          <w:sz w:val="18"/>
          <w:szCs w:val="18"/>
        </w:rPr>
        <w:t xml:space="preserve">Sally Gordon, </w:t>
      </w:r>
      <w:r>
        <w:rPr>
          <w:rFonts w:ascii="Arial" w:hAnsi="Arial" w:cs="Arial"/>
          <w:sz w:val="18"/>
          <w:szCs w:val="18"/>
        </w:rPr>
        <w:t xml:space="preserve">Iftikhar Khan, </w:t>
      </w:r>
      <w:r w:rsidRPr="00C96448">
        <w:rPr>
          <w:rFonts w:ascii="Arial" w:hAnsi="Arial" w:cs="Arial"/>
          <w:sz w:val="18"/>
          <w:szCs w:val="18"/>
        </w:rPr>
        <w:t>Justin Liu</w:t>
      </w:r>
      <w:r>
        <w:rPr>
          <w:rFonts w:ascii="Arial" w:hAnsi="Arial" w:cs="Arial"/>
          <w:sz w:val="18"/>
          <w:szCs w:val="18"/>
        </w:rPr>
        <w:t xml:space="preserve">, </w:t>
      </w:r>
      <w:r w:rsidR="00C96448" w:rsidRPr="00C96448">
        <w:rPr>
          <w:rFonts w:ascii="Arial" w:hAnsi="Arial" w:cs="Arial"/>
          <w:sz w:val="18"/>
          <w:szCs w:val="18"/>
        </w:rPr>
        <w:t xml:space="preserve">Sarah Mckee, Julie Miller, </w:t>
      </w:r>
      <w:r w:rsidR="00CB2BDC">
        <w:rPr>
          <w:rFonts w:ascii="Arial" w:hAnsi="Arial" w:cs="Arial"/>
          <w:sz w:val="18"/>
          <w:szCs w:val="18"/>
        </w:rPr>
        <w:t xml:space="preserve">Zarina Mirza, </w:t>
      </w:r>
      <w:r>
        <w:rPr>
          <w:rFonts w:ascii="Arial" w:hAnsi="Arial" w:cs="Arial"/>
          <w:sz w:val="18"/>
          <w:szCs w:val="18"/>
        </w:rPr>
        <w:t xml:space="preserve">Arron Peace, </w:t>
      </w:r>
      <w:r w:rsidR="00C96448" w:rsidRPr="00C96448">
        <w:rPr>
          <w:rFonts w:ascii="Arial" w:hAnsi="Arial" w:cs="Arial"/>
          <w:sz w:val="18"/>
          <w:szCs w:val="18"/>
        </w:rPr>
        <w:t>Helen Permain</w:t>
      </w:r>
      <w:r>
        <w:rPr>
          <w:rFonts w:ascii="Arial" w:hAnsi="Arial" w:cs="Arial"/>
          <w:sz w:val="18"/>
          <w:szCs w:val="18"/>
        </w:rPr>
        <w:t>, John Vertannes</w:t>
      </w:r>
    </w:p>
    <w:p w14:paraId="6713C320" w14:textId="7C31859A" w:rsidR="00C96448" w:rsidRDefault="00C96448" w:rsidP="003A1378">
      <w:pPr>
        <w:jc w:val="both"/>
        <w:rPr>
          <w:rFonts w:ascii="Arial" w:hAnsi="Arial" w:cs="Arial"/>
          <w:sz w:val="18"/>
          <w:szCs w:val="18"/>
        </w:rPr>
      </w:pPr>
    </w:p>
    <w:p w14:paraId="12DF6321" w14:textId="667C2937" w:rsidR="00C96448" w:rsidRDefault="00C96448" w:rsidP="003A1378">
      <w:pPr>
        <w:jc w:val="both"/>
        <w:rPr>
          <w:rFonts w:ascii="Arial" w:hAnsi="Arial" w:cs="Arial"/>
          <w:i/>
          <w:sz w:val="18"/>
          <w:szCs w:val="18"/>
        </w:rPr>
      </w:pPr>
      <w:r>
        <w:rPr>
          <w:rFonts w:ascii="Arial" w:hAnsi="Arial" w:cs="Arial"/>
          <w:i/>
          <w:sz w:val="18"/>
          <w:szCs w:val="18"/>
        </w:rPr>
        <w:t>London study site</w:t>
      </w:r>
    </w:p>
    <w:p w14:paraId="3582807B" w14:textId="41B2F1A7" w:rsidR="00C96448" w:rsidRDefault="00C96448" w:rsidP="003A1378">
      <w:pPr>
        <w:jc w:val="both"/>
        <w:rPr>
          <w:rFonts w:ascii="Arial" w:hAnsi="Arial" w:cs="Arial"/>
          <w:sz w:val="18"/>
          <w:szCs w:val="18"/>
        </w:rPr>
      </w:pPr>
      <w:r w:rsidRPr="00C96448">
        <w:rPr>
          <w:rFonts w:ascii="Arial" w:hAnsi="Arial" w:cs="Arial"/>
          <w:sz w:val="18"/>
          <w:szCs w:val="18"/>
        </w:rPr>
        <w:t>Antoinette McNulty</w:t>
      </w:r>
    </w:p>
    <w:p w14:paraId="08ED6A10" w14:textId="170AABDA" w:rsidR="00C96448" w:rsidRDefault="00C96448" w:rsidP="003A1378">
      <w:pPr>
        <w:jc w:val="both"/>
        <w:rPr>
          <w:rFonts w:ascii="Arial" w:hAnsi="Arial" w:cs="Arial"/>
          <w:sz w:val="18"/>
          <w:szCs w:val="18"/>
        </w:rPr>
      </w:pPr>
    </w:p>
    <w:p w14:paraId="0F6F7AFA" w14:textId="093D00AF" w:rsidR="00C96448" w:rsidRDefault="00C96448" w:rsidP="003A1378">
      <w:pPr>
        <w:jc w:val="both"/>
        <w:rPr>
          <w:rFonts w:ascii="Arial" w:hAnsi="Arial" w:cs="Arial"/>
          <w:i/>
          <w:sz w:val="18"/>
          <w:szCs w:val="18"/>
        </w:rPr>
      </w:pPr>
      <w:r>
        <w:rPr>
          <w:rFonts w:ascii="Arial" w:hAnsi="Arial" w:cs="Arial"/>
          <w:i/>
          <w:sz w:val="18"/>
          <w:szCs w:val="18"/>
        </w:rPr>
        <w:t>Coventry study site</w:t>
      </w:r>
    </w:p>
    <w:p w14:paraId="444605A9" w14:textId="73F9B725" w:rsidR="00C96448" w:rsidRDefault="00C96448" w:rsidP="003A1378">
      <w:pPr>
        <w:jc w:val="both"/>
        <w:rPr>
          <w:rFonts w:ascii="Arial" w:hAnsi="Arial" w:cs="Arial"/>
          <w:sz w:val="18"/>
          <w:szCs w:val="18"/>
        </w:rPr>
      </w:pPr>
      <w:r w:rsidRPr="00C96448">
        <w:rPr>
          <w:rFonts w:ascii="Arial" w:hAnsi="Arial" w:cs="Arial"/>
          <w:sz w:val="18"/>
          <w:szCs w:val="18"/>
        </w:rPr>
        <w:t>Priya Bagga, Pauline D</w:t>
      </w:r>
      <w:r w:rsidR="005B7362">
        <w:rPr>
          <w:rFonts w:ascii="Arial" w:hAnsi="Arial" w:cs="Arial"/>
          <w:sz w:val="18"/>
          <w:szCs w:val="18"/>
        </w:rPr>
        <w:t>e</w:t>
      </w:r>
      <w:r w:rsidRPr="00C96448">
        <w:rPr>
          <w:rFonts w:ascii="Arial" w:hAnsi="Arial" w:cs="Arial"/>
          <w:sz w:val="18"/>
          <w:szCs w:val="18"/>
        </w:rPr>
        <w:t>rby</w:t>
      </w:r>
      <w:r w:rsidR="005B7362">
        <w:rPr>
          <w:rFonts w:ascii="Arial" w:hAnsi="Arial" w:cs="Arial"/>
          <w:sz w:val="18"/>
          <w:szCs w:val="18"/>
        </w:rPr>
        <w:t>s</w:t>
      </w:r>
      <w:r w:rsidRPr="00C96448">
        <w:rPr>
          <w:rFonts w:ascii="Arial" w:hAnsi="Arial" w:cs="Arial"/>
          <w:sz w:val="18"/>
          <w:szCs w:val="18"/>
        </w:rPr>
        <w:t>hire, Kate Ellis, Sue Elwell, Rachel Evans, Narindar Ghuman, Ruth Johns, Sara Read, Jackie Sears, Kate Webberley</w:t>
      </w:r>
      <w:r w:rsidR="005B7362">
        <w:rPr>
          <w:rFonts w:ascii="Arial" w:hAnsi="Arial" w:cs="Arial"/>
          <w:sz w:val="18"/>
          <w:szCs w:val="18"/>
        </w:rPr>
        <w:t>, Ruth Johns, Katherine Allen, Elaine Butcher.</w:t>
      </w:r>
    </w:p>
    <w:p w14:paraId="4F4F994C" w14:textId="3BB8E46F" w:rsidR="000650A6" w:rsidRDefault="000650A6" w:rsidP="000650A6">
      <w:pPr>
        <w:jc w:val="both"/>
        <w:rPr>
          <w:rFonts w:ascii="Arial" w:hAnsi="Arial" w:cs="Arial"/>
          <w:sz w:val="18"/>
          <w:szCs w:val="18"/>
        </w:rPr>
      </w:pPr>
    </w:p>
    <w:p w14:paraId="36735AC6" w14:textId="31684FB9" w:rsidR="000650A6" w:rsidRPr="000650A6" w:rsidRDefault="000650A6" w:rsidP="000650A6">
      <w:pPr>
        <w:jc w:val="both"/>
        <w:rPr>
          <w:rFonts w:ascii="Arial" w:hAnsi="Arial" w:cs="Arial"/>
          <w:sz w:val="18"/>
          <w:szCs w:val="18"/>
        </w:rPr>
      </w:pPr>
      <w:r w:rsidRPr="000650A6">
        <w:rPr>
          <w:rFonts w:ascii="Arial" w:hAnsi="Arial" w:cs="Arial"/>
          <w:sz w:val="18"/>
          <w:szCs w:val="18"/>
        </w:rPr>
        <w:t>Gloucester</w:t>
      </w:r>
      <w:r w:rsidR="00A61BD3">
        <w:rPr>
          <w:rFonts w:ascii="Arial" w:hAnsi="Arial" w:cs="Arial"/>
          <w:sz w:val="18"/>
          <w:szCs w:val="18"/>
        </w:rPr>
        <w:t>shire</w:t>
      </w:r>
      <w:r w:rsidRPr="000650A6">
        <w:rPr>
          <w:rFonts w:ascii="Arial" w:hAnsi="Arial" w:cs="Arial"/>
          <w:sz w:val="18"/>
          <w:szCs w:val="18"/>
        </w:rPr>
        <w:t xml:space="preserve"> Hospitals NHS Foundation Trust</w:t>
      </w:r>
    </w:p>
    <w:p w14:paraId="3F203869" w14:textId="46424310" w:rsidR="000650A6" w:rsidRDefault="000650A6" w:rsidP="000650A6">
      <w:pPr>
        <w:jc w:val="both"/>
        <w:rPr>
          <w:rFonts w:ascii="Arial" w:hAnsi="Arial" w:cs="Arial"/>
          <w:sz w:val="18"/>
          <w:szCs w:val="18"/>
        </w:rPr>
      </w:pPr>
      <w:r w:rsidRPr="000650A6">
        <w:rPr>
          <w:rFonts w:ascii="Arial" w:hAnsi="Arial" w:cs="Arial"/>
          <w:sz w:val="18"/>
          <w:szCs w:val="18"/>
        </w:rPr>
        <w:t xml:space="preserve">Joanne Waldron, Amanda </w:t>
      </w:r>
      <w:r w:rsidR="005E47F8" w:rsidRPr="005E47F8">
        <w:rPr>
          <w:rFonts w:ascii="Arial" w:hAnsi="Arial" w:cs="Arial"/>
          <w:sz w:val="18"/>
          <w:szCs w:val="18"/>
        </w:rPr>
        <w:t>Selassie</w:t>
      </w:r>
      <w:r w:rsidRPr="000650A6">
        <w:rPr>
          <w:rFonts w:ascii="Arial" w:hAnsi="Arial" w:cs="Arial"/>
          <w:sz w:val="18"/>
          <w:szCs w:val="18"/>
        </w:rPr>
        <w:t>, Kayleigh Collins, Jennifer  Smith, Kate Trigg-Hogarth, Rachel  Sayers,</w:t>
      </w:r>
      <w:r w:rsidR="00576422">
        <w:rPr>
          <w:rFonts w:ascii="Arial" w:hAnsi="Arial" w:cs="Arial"/>
          <w:sz w:val="18"/>
          <w:szCs w:val="18"/>
        </w:rPr>
        <w:t xml:space="preserve"> Pauline Brown</w:t>
      </w:r>
    </w:p>
    <w:p w14:paraId="0D575F60" w14:textId="6BF29FA4" w:rsidR="006D16F7" w:rsidRDefault="006D16F7" w:rsidP="003A1378">
      <w:pPr>
        <w:jc w:val="both"/>
        <w:rPr>
          <w:rFonts w:ascii="Arial" w:hAnsi="Arial" w:cs="Arial"/>
          <w:sz w:val="18"/>
          <w:szCs w:val="18"/>
        </w:rPr>
      </w:pPr>
    </w:p>
    <w:p w14:paraId="0DC72582" w14:textId="63A7B437" w:rsidR="006D16F7" w:rsidRPr="00C42DE5" w:rsidRDefault="006D16F7" w:rsidP="006D16F7">
      <w:pPr>
        <w:jc w:val="both"/>
        <w:rPr>
          <w:rFonts w:ascii="Arial" w:hAnsi="Arial" w:cs="Arial"/>
          <w:i/>
          <w:sz w:val="18"/>
          <w:szCs w:val="18"/>
        </w:rPr>
      </w:pPr>
      <w:r w:rsidRPr="00C42DE5">
        <w:rPr>
          <w:rFonts w:ascii="Arial" w:hAnsi="Arial" w:cs="Arial"/>
          <w:i/>
          <w:sz w:val="18"/>
          <w:szCs w:val="18"/>
        </w:rPr>
        <w:t xml:space="preserve">University of </w:t>
      </w:r>
      <w:r>
        <w:rPr>
          <w:rFonts w:ascii="Arial" w:hAnsi="Arial" w:cs="Arial"/>
          <w:i/>
          <w:sz w:val="18"/>
          <w:szCs w:val="18"/>
        </w:rPr>
        <w:t>Birmingham student trial management team</w:t>
      </w:r>
    </w:p>
    <w:p w14:paraId="55E35881" w14:textId="56C3F753" w:rsidR="006D16F7" w:rsidRDefault="006D16F7" w:rsidP="003A1378">
      <w:pPr>
        <w:jc w:val="both"/>
        <w:rPr>
          <w:rFonts w:ascii="Arial" w:hAnsi="Arial" w:cs="Arial"/>
          <w:sz w:val="18"/>
          <w:szCs w:val="18"/>
        </w:rPr>
      </w:pPr>
      <w:r w:rsidRPr="00C42DE5">
        <w:rPr>
          <w:rFonts w:ascii="Arial" w:hAnsi="Arial" w:cs="Arial"/>
          <w:sz w:val="18"/>
          <w:szCs w:val="18"/>
        </w:rPr>
        <w:t xml:space="preserve">Rishab Balaji, Alice Field, Emily Protheroe, </w:t>
      </w:r>
      <w:r w:rsidR="004E5E9A" w:rsidRPr="00C42DE5">
        <w:rPr>
          <w:rFonts w:ascii="Arial" w:hAnsi="Arial" w:cs="Arial"/>
          <w:sz w:val="18"/>
          <w:szCs w:val="18"/>
        </w:rPr>
        <w:t xml:space="preserve">Laura Seeney, </w:t>
      </w:r>
      <w:r>
        <w:rPr>
          <w:rFonts w:ascii="Arial" w:hAnsi="Arial" w:cs="Arial"/>
          <w:sz w:val="18"/>
          <w:szCs w:val="18"/>
        </w:rPr>
        <w:t xml:space="preserve">Amelia </w:t>
      </w:r>
      <w:r w:rsidRPr="00C42DE5">
        <w:rPr>
          <w:rFonts w:ascii="Arial" w:hAnsi="Arial" w:cs="Arial"/>
          <w:sz w:val="18"/>
          <w:szCs w:val="18"/>
        </w:rPr>
        <w:t>Sterry</w:t>
      </w:r>
    </w:p>
    <w:p w14:paraId="14D36B62" w14:textId="0DCB5736" w:rsidR="0076616E" w:rsidRDefault="0076616E" w:rsidP="003A1378">
      <w:pPr>
        <w:jc w:val="both"/>
        <w:rPr>
          <w:rFonts w:ascii="Arial" w:hAnsi="Arial" w:cs="Arial"/>
          <w:sz w:val="18"/>
          <w:szCs w:val="18"/>
        </w:rPr>
      </w:pPr>
    </w:p>
    <w:p w14:paraId="64B0D7BE" w14:textId="77777777" w:rsidR="0076616E" w:rsidRDefault="0076616E" w:rsidP="0076616E">
      <w:pPr>
        <w:jc w:val="both"/>
        <w:rPr>
          <w:rFonts w:ascii="Arial" w:hAnsi="Arial" w:cs="Arial"/>
          <w:i/>
          <w:sz w:val="18"/>
          <w:szCs w:val="18"/>
        </w:rPr>
      </w:pPr>
      <w:r w:rsidRPr="00C42DE5">
        <w:rPr>
          <w:rFonts w:ascii="Arial" w:hAnsi="Arial" w:cs="Arial"/>
          <w:i/>
          <w:sz w:val="18"/>
          <w:szCs w:val="18"/>
        </w:rPr>
        <w:t>University of Birmingham</w:t>
      </w:r>
    </w:p>
    <w:p w14:paraId="254C8537" w14:textId="27DEA4F0" w:rsidR="0076616E" w:rsidRDefault="0076616E" w:rsidP="0076616E">
      <w:pPr>
        <w:jc w:val="both"/>
        <w:rPr>
          <w:rFonts w:ascii="Arial" w:hAnsi="Arial" w:cs="Arial"/>
          <w:sz w:val="18"/>
          <w:szCs w:val="18"/>
        </w:rPr>
      </w:pPr>
      <w:r w:rsidRPr="00C42DE5">
        <w:rPr>
          <w:rFonts w:ascii="Arial" w:hAnsi="Arial" w:cs="Arial"/>
          <w:sz w:val="18"/>
          <w:szCs w:val="18"/>
        </w:rPr>
        <w:t>Natasha Ashbridge, Iman Aurfan, Ellena Badenoch, Sophie Barraclough, Rosie Boulton, Megan Cathrall, Tanzi</w:t>
      </w:r>
      <w:r w:rsidR="00224784">
        <w:rPr>
          <w:rFonts w:ascii="Arial" w:hAnsi="Arial" w:cs="Arial"/>
          <w:sz w:val="18"/>
          <w:szCs w:val="18"/>
        </w:rPr>
        <w:t>na</w:t>
      </w:r>
      <w:r w:rsidRPr="00C42DE5">
        <w:rPr>
          <w:rFonts w:ascii="Arial" w:hAnsi="Arial" w:cs="Arial"/>
          <w:sz w:val="18"/>
          <w:szCs w:val="18"/>
        </w:rPr>
        <w:t xml:space="preserve"> Ch</w:t>
      </w:r>
      <w:r w:rsidR="00C6629D">
        <w:rPr>
          <w:rFonts w:ascii="Arial" w:hAnsi="Arial" w:cs="Arial"/>
          <w:sz w:val="18"/>
          <w:szCs w:val="18"/>
        </w:rPr>
        <w:t>au</w:t>
      </w:r>
      <w:r w:rsidRPr="00C42DE5">
        <w:rPr>
          <w:rFonts w:ascii="Arial" w:hAnsi="Arial" w:cs="Arial"/>
          <w:sz w:val="18"/>
          <w:szCs w:val="18"/>
        </w:rPr>
        <w:t>dary, Tillie Graham, Tegan Gumsley-Read, Beth Hanney,</w:t>
      </w:r>
      <w:r>
        <w:rPr>
          <w:rFonts w:ascii="Arial" w:hAnsi="Arial" w:cs="Arial"/>
          <w:sz w:val="18"/>
          <w:szCs w:val="18"/>
        </w:rPr>
        <w:t xml:space="preserve"> </w:t>
      </w:r>
      <w:r w:rsidRPr="00C42DE5">
        <w:rPr>
          <w:rFonts w:ascii="Arial" w:hAnsi="Arial" w:cs="Arial"/>
          <w:sz w:val="18"/>
          <w:szCs w:val="18"/>
        </w:rPr>
        <w:t>Arabella Legard, Vindhya Maripuri, Freddie Mellor, Daniel Myers, Sulaksan Panchalingam, Ashley Pegg, Lottie Rawden, James Robinson, Anna Sherkat, Thomas Starkey, Grace Westland</w:t>
      </w:r>
      <w:r>
        <w:rPr>
          <w:rFonts w:ascii="Arial" w:hAnsi="Arial" w:cs="Arial"/>
          <w:sz w:val="18"/>
          <w:szCs w:val="18"/>
        </w:rPr>
        <w:t>.</w:t>
      </w:r>
    </w:p>
    <w:p w14:paraId="3DCEE1F6" w14:textId="44BF6213" w:rsidR="00786A98" w:rsidRDefault="00786A98" w:rsidP="0076616E">
      <w:pPr>
        <w:jc w:val="both"/>
        <w:rPr>
          <w:rFonts w:ascii="Arial" w:hAnsi="Arial" w:cs="Arial"/>
          <w:sz w:val="18"/>
          <w:szCs w:val="18"/>
        </w:rPr>
      </w:pPr>
    </w:p>
    <w:p w14:paraId="26ECD1F3" w14:textId="77777777" w:rsidR="00786A98" w:rsidRPr="00C42DE5" w:rsidRDefault="00786A98" w:rsidP="00786A98">
      <w:pPr>
        <w:jc w:val="both"/>
        <w:rPr>
          <w:rFonts w:ascii="Arial" w:hAnsi="Arial" w:cs="Arial"/>
          <w:i/>
          <w:sz w:val="18"/>
          <w:szCs w:val="18"/>
        </w:rPr>
      </w:pPr>
      <w:r w:rsidRPr="00C42DE5">
        <w:rPr>
          <w:rFonts w:ascii="Arial" w:hAnsi="Arial" w:cs="Arial"/>
          <w:i/>
          <w:sz w:val="18"/>
          <w:szCs w:val="18"/>
        </w:rPr>
        <w:t>University of Oxford</w:t>
      </w:r>
      <w:r>
        <w:rPr>
          <w:rFonts w:ascii="Arial" w:hAnsi="Arial" w:cs="Arial"/>
          <w:i/>
          <w:sz w:val="18"/>
          <w:szCs w:val="18"/>
        </w:rPr>
        <w:t xml:space="preserve"> student trial management team</w:t>
      </w:r>
    </w:p>
    <w:p w14:paraId="663F17A4" w14:textId="77777777" w:rsidR="00786A98" w:rsidRPr="00C96448" w:rsidRDefault="00786A98" w:rsidP="00786A98">
      <w:pPr>
        <w:jc w:val="both"/>
        <w:rPr>
          <w:rFonts w:ascii="Arial" w:hAnsi="Arial" w:cs="Arial"/>
          <w:sz w:val="18"/>
          <w:szCs w:val="18"/>
        </w:rPr>
      </w:pPr>
      <w:r w:rsidRPr="00C42DE5">
        <w:rPr>
          <w:rFonts w:ascii="Arial" w:hAnsi="Arial" w:cs="Arial"/>
          <w:sz w:val="18"/>
          <w:szCs w:val="18"/>
        </w:rPr>
        <w:t>Tinashe Kanyowa,</w:t>
      </w:r>
      <w:r w:rsidRPr="006D16F7">
        <w:rPr>
          <w:rFonts w:ascii="Arial" w:hAnsi="Arial" w:cs="Arial"/>
          <w:sz w:val="18"/>
          <w:szCs w:val="18"/>
        </w:rPr>
        <w:t xml:space="preserve"> </w:t>
      </w:r>
      <w:r w:rsidRPr="00C42DE5">
        <w:rPr>
          <w:rFonts w:ascii="Arial" w:hAnsi="Arial" w:cs="Arial"/>
          <w:sz w:val="18"/>
          <w:szCs w:val="18"/>
        </w:rPr>
        <w:t>Mika Erik Moeser, Aleksander Stawiarski,</w:t>
      </w:r>
      <w:r w:rsidRPr="006D16F7">
        <w:rPr>
          <w:rFonts w:ascii="Arial" w:hAnsi="Arial" w:cs="Arial"/>
          <w:sz w:val="18"/>
          <w:szCs w:val="18"/>
        </w:rPr>
        <w:t xml:space="preserve"> </w:t>
      </w:r>
      <w:r w:rsidRPr="00C42DE5">
        <w:rPr>
          <w:rFonts w:ascii="Arial" w:hAnsi="Arial" w:cs="Arial"/>
          <w:sz w:val="18"/>
          <w:szCs w:val="18"/>
        </w:rPr>
        <w:t>Jenny Y Wang</w:t>
      </w:r>
    </w:p>
    <w:p w14:paraId="1D7AC98B" w14:textId="77777777" w:rsidR="00786A98" w:rsidRDefault="00786A98" w:rsidP="00786A98">
      <w:pPr>
        <w:jc w:val="both"/>
        <w:rPr>
          <w:rFonts w:ascii="Arial" w:hAnsi="Arial" w:cs="Arial"/>
          <w:b/>
          <w:sz w:val="18"/>
          <w:szCs w:val="18"/>
        </w:rPr>
      </w:pPr>
    </w:p>
    <w:p w14:paraId="0A92A09B" w14:textId="77777777" w:rsidR="00786A98" w:rsidRPr="00C42DE5" w:rsidRDefault="00786A98" w:rsidP="00786A98">
      <w:pPr>
        <w:jc w:val="both"/>
        <w:rPr>
          <w:rFonts w:ascii="Arial" w:hAnsi="Arial" w:cs="Arial"/>
          <w:i/>
          <w:sz w:val="18"/>
          <w:szCs w:val="18"/>
        </w:rPr>
      </w:pPr>
      <w:r w:rsidRPr="00C42DE5">
        <w:rPr>
          <w:rFonts w:ascii="Arial" w:hAnsi="Arial" w:cs="Arial"/>
          <w:i/>
          <w:sz w:val="18"/>
          <w:szCs w:val="18"/>
        </w:rPr>
        <w:t>University of Oxford</w:t>
      </w:r>
    </w:p>
    <w:p w14:paraId="7D224638" w14:textId="472DED1C" w:rsidR="00786A98" w:rsidRDefault="00786A98" w:rsidP="0076616E">
      <w:pPr>
        <w:jc w:val="both"/>
        <w:rPr>
          <w:rFonts w:ascii="Arial" w:hAnsi="Arial" w:cs="Arial"/>
          <w:sz w:val="18"/>
          <w:szCs w:val="18"/>
        </w:rPr>
      </w:pPr>
      <w:r>
        <w:rPr>
          <w:rFonts w:ascii="Arial" w:hAnsi="Arial" w:cs="Arial"/>
          <w:sz w:val="18"/>
          <w:szCs w:val="18"/>
        </w:rPr>
        <w:t xml:space="preserve">Kevin Chau, Rosaline De Koning, Thomas Foord, Hannah Fuchs, </w:t>
      </w:r>
      <w:r w:rsidRPr="00C42DE5">
        <w:rPr>
          <w:rFonts w:ascii="Arial" w:hAnsi="Arial" w:cs="Arial"/>
          <w:sz w:val="18"/>
          <w:szCs w:val="18"/>
        </w:rPr>
        <w:t>Jasmine Gan,</w:t>
      </w:r>
      <w:r>
        <w:rPr>
          <w:rFonts w:ascii="Arial" w:hAnsi="Arial" w:cs="Arial"/>
          <w:sz w:val="18"/>
          <w:szCs w:val="18"/>
        </w:rPr>
        <w:t xml:space="preserve"> Alexander Grassam-Rowe, Ben Holloway, </w:t>
      </w:r>
      <w:r w:rsidRPr="00C42DE5">
        <w:rPr>
          <w:rFonts w:ascii="Arial" w:hAnsi="Arial" w:cs="Arial"/>
          <w:sz w:val="18"/>
          <w:szCs w:val="18"/>
        </w:rPr>
        <w:t xml:space="preserve">Sarah Hoosdally, </w:t>
      </w:r>
      <w:r>
        <w:rPr>
          <w:rFonts w:ascii="Arial" w:hAnsi="Arial" w:cs="Arial"/>
          <w:sz w:val="18"/>
          <w:szCs w:val="18"/>
        </w:rPr>
        <w:t xml:space="preserve">Beinn Khulusi, Kirsten Lee, </w:t>
      </w:r>
      <w:r w:rsidRPr="00C42DE5">
        <w:rPr>
          <w:rFonts w:ascii="Arial" w:hAnsi="Arial" w:cs="Arial"/>
          <w:sz w:val="18"/>
          <w:szCs w:val="18"/>
        </w:rPr>
        <w:t xml:space="preserve">Sheila </w:t>
      </w:r>
      <w:r>
        <w:rPr>
          <w:rFonts w:ascii="Arial" w:hAnsi="Arial" w:cs="Arial"/>
          <w:sz w:val="18"/>
          <w:szCs w:val="18"/>
        </w:rPr>
        <w:t xml:space="preserve">F </w:t>
      </w:r>
      <w:r w:rsidRPr="00C42DE5">
        <w:rPr>
          <w:rFonts w:ascii="Arial" w:hAnsi="Arial" w:cs="Arial"/>
          <w:sz w:val="18"/>
          <w:szCs w:val="18"/>
        </w:rPr>
        <w:t xml:space="preserve">Lumley, </w:t>
      </w:r>
      <w:r>
        <w:rPr>
          <w:rFonts w:ascii="Arial" w:hAnsi="Arial" w:cs="Arial"/>
          <w:sz w:val="18"/>
          <w:szCs w:val="18"/>
        </w:rPr>
        <w:t xml:space="preserve">Philippa Matthews, Alex Mighiu, Harry Nuttall, Liam Peck, </w:t>
      </w:r>
      <w:r w:rsidRPr="00C42DE5">
        <w:rPr>
          <w:rFonts w:ascii="Arial" w:hAnsi="Arial" w:cs="Arial"/>
          <w:sz w:val="18"/>
          <w:szCs w:val="18"/>
        </w:rPr>
        <w:t xml:space="preserve">Leon Peto, </w:t>
      </w:r>
      <w:r>
        <w:rPr>
          <w:rFonts w:ascii="Arial" w:hAnsi="Arial" w:cs="Arial"/>
          <w:sz w:val="18"/>
          <w:szCs w:val="18"/>
        </w:rPr>
        <w:t xml:space="preserve">Hayleah Pickford, Thomas </w:t>
      </w:r>
      <w:r w:rsidR="00962EAD">
        <w:rPr>
          <w:rFonts w:ascii="Arial" w:hAnsi="Arial" w:cs="Arial"/>
          <w:sz w:val="18"/>
          <w:szCs w:val="18"/>
        </w:rPr>
        <w:t xml:space="preserve">G </w:t>
      </w:r>
      <w:r>
        <w:rPr>
          <w:rFonts w:ascii="Arial" w:hAnsi="Arial" w:cs="Arial"/>
          <w:sz w:val="18"/>
          <w:szCs w:val="18"/>
        </w:rPr>
        <w:t xml:space="preserve">Ritter, </w:t>
      </w:r>
      <w:r w:rsidRPr="00C42DE5">
        <w:rPr>
          <w:rFonts w:ascii="Arial" w:hAnsi="Arial" w:cs="Arial"/>
          <w:sz w:val="18"/>
          <w:szCs w:val="18"/>
        </w:rPr>
        <w:t>Patrick Robinson, Gillian Rodger, Alexand</w:t>
      </w:r>
      <w:r>
        <w:rPr>
          <w:rFonts w:ascii="Arial" w:hAnsi="Arial" w:cs="Arial"/>
          <w:sz w:val="18"/>
          <w:szCs w:val="18"/>
        </w:rPr>
        <w:t>ra</w:t>
      </w:r>
      <w:r w:rsidRPr="00C42DE5">
        <w:rPr>
          <w:rFonts w:ascii="Arial" w:hAnsi="Arial" w:cs="Arial"/>
          <w:sz w:val="18"/>
          <w:szCs w:val="18"/>
        </w:rPr>
        <w:t xml:space="preserve"> Rowlands, </w:t>
      </w:r>
      <w:r>
        <w:rPr>
          <w:rFonts w:ascii="Arial" w:hAnsi="Arial" w:cs="Arial"/>
          <w:sz w:val="18"/>
          <w:szCs w:val="18"/>
        </w:rPr>
        <w:t xml:space="preserve">Lavanya Sinha, </w:t>
      </w:r>
      <w:r w:rsidRPr="00C42DE5">
        <w:rPr>
          <w:rFonts w:ascii="Arial" w:hAnsi="Arial" w:cs="Arial"/>
          <w:sz w:val="18"/>
          <w:szCs w:val="18"/>
        </w:rPr>
        <w:t xml:space="preserve">Lloyd Shail, Ella Smith, </w:t>
      </w:r>
      <w:r>
        <w:rPr>
          <w:rFonts w:ascii="Arial" w:hAnsi="Arial" w:cs="Arial"/>
          <w:sz w:val="18"/>
          <w:szCs w:val="18"/>
        </w:rPr>
        <w:t xml:space="preserve">Nicole Stoesser, </w:t>
      </w:r>
      <w:r w:rsidRPr="00C42DE5">
        <w:rPr>
          <w:rFonts w:ascii="Arial" w:hAnsi="Arial" w:cs="Arial"/>
          <w:sz w:val="18"/>
          <w:szCs w:val="18"/>
        </w:rPr>
        <w:t>Ali Vaughan</w:t>
      </w:r>
    </w:p>
    <w:p w14:paraId="47EE26F5" w14:textId="16597267" w:rsidR="0098080D" w:rsidRDefault="0098080D" w:rsidP="0076616E">
      <w:pPr>
        <w:jc w:val="both"/>
        <w:rPr>
          <w:rFonts w:ascii="Arial" w:hAnsi="Arial" w:cs="Arial"/>
          <w:sz w:val="18"/>
          <w:szCs w:val="18"/>
        </w:rPr>
      </w:pPr>
    </w:p>
    <w:p w14:paraId="00869464" w14:textId="6C4B790F" w:rsidR="0098080D" w:rsidRDefault="0098080D" w:rsidP="0076616E">
      <w:pPr>
        <w:jc w:val="both"/>
        <w:rPr>
          <w:rFonts w:ascii="Arial" w:hAnsi="Arial" w:cs="Arial"/>
          <w:i/>
          <w:sz w:val="18"/>
          <w:szCs w:val="18"/>
        </w:rPr>
      </w:pPr>
      <w:r>
        <w:rPr>
          <w:rFonts w:ascii="Arial" w:hAnsi="Arial" w:cs="Arial"/>
          <w:i/>
          <w:sz w:val="18"/>
          <w:szCs w:val="18"/>
        </w:rPr>
        <w:lastRenderedPageBreak/>
        <w:t>University of Warwick</w:t>
      </w:r>
    </w:p>
    <w:p w14:paraId="26701BDA" w14:textId="5AD30ABF" w:rsidR="0098080D" w:rsidRPr="0098080D" w:rsidRDefault="0098080D" w:rsidP="0076616E">
      <w:pPr>
        <w:jc w:val="both"/>
        <w:rPr>
          <w:rFonts w:ascii="Arial" w:hAnsi="Arial" w:cs="Arial"/>
          <w:sz w:val="18"/>
          <w:szCs w:val="18"/>
        </w:rPr>
      </w:pPr>
      <w:r>
        <w:rPr>
          <w:rFonts w:ascii="Arial" w:hAnsi="Arial" w:cs="Arial"/>
          <w:sz w:val="18"/>
          <w:szCs w:val="18"/>
        </w:rPr>
        <w:t>Daniel Lasserson</w:t>
      </w:r>
    </w:p>
    <w:p w14:paraId="7A358DDF" w14:textId="77777777" w:rsidR="0076616E" w:rsidRDefault="0076616E" w:rsidP="0076616E">
      <w:pPr>
        <w:jc w:val="both"/>
        <w:rPr>
          <w:rFonts w:ascii="Arial" w:hAnsi="Arial" w:cs="Arial"/>
          <w:sz w:val="18"/>
          <w:szCs w:val="18"/>
        </w:rPr>
      </w:pPr>
    </w:p>
    <w:p w14:paraId="7390AFAD" w14:textId="77777777" w:rsidR="0076616E" w:rsidRDefault="0076616E" w:rsidP="0076616E">
      <w:pPr>
        <w:jc w:val="both"/>
        <w:rPr>
          <w:rFonts w:ascii="Arial" w:hAnsi="Arial" w:cs="Arial"/>
          <w:i/>
          <w:sz w:val="18"/>
          <w:szCs w:val="18"/>
        </w:rPr>
      </w:pPr>
      <w:r w:rsidRPr="00C42DE5">
        <w:rPr>
          <w:rFonts w:ascii="Arial" w:hAnsi="Arial" w:cs="Arial"/>
          <w:i/>
          <w:sz w:val="18"/>
          <w:szCs w:val="18"/>
        </w:rPr>
        <w:t xml:space="preserve">University of </w:t>
      </w:r>
      <w:r>
        <w:rPr>
          <w:rFonts w:ascii="Arial" w:hAnsi="Arial" w:cs="Arial"/>
          <w:i/>
          <w:sz w:val="18"/>
          <w:szCs w:val="18"/>
        </w:rPr>
        <w:t>Newcastle</w:t>
      </w:r>
    </w:p>
    <w:p w14:paraId="4CDD6678" w14:textId="32E33C46" w:rsidR="0076616E" w:rsidRPr="003213FB" w:rsidRDefault="00A03178" w:rsidP="003A1378">
      <w:pPr>
        <w:jc w:val="both"/>
        <w:rPr>
          <w:rFonts w:ascii="Arial" w:eastAsiaTheme="minorHAnsi" w:hAnsi="Arial" w:cs="Arial"/>
          <w:sz w:val="18"/>
          <w:szCs w:val="18"/>
        </w:rPr>
      </w:pPr>
      <w:r>
        <w:rPr>
          <w:rFonts w:ascii="Arial" w:eastAsiaTheme="minorHAnsi" w:hAnsi="Arial" w:cs="Arial"/>
          <w:sz w:val="18"/>
          <w:szCs w:val="18"/>
        </w:rPr>
        <w:t xml:space="preserve">Hannah Claasen, </w:t>
      </w:r>
      <w:r w:rsidR="0076616E" w:rsidRPr="00C42DE5">
        <w:rPr>
          <w:rFonts w:ascii="Arial" w:eastAsiaTheme="minorHAnsi" w:hAnsi="Arial" w:cs="Arial"/>
          <w:sz w:val="18"/>
          <w:szCs w:val="18"/>
        </w:rPr>
        <w:t>Harriet Jackson</w:t>
      </w:r>
    </w:p>
    <w:p w14:paraId="10023782" w14:textId="40182B20" w:rsidR="0064336D" w:rsidRDefault="0064336D" w:rsidP="003A1378">
      <w:pPr>
        <w:jc w:val="both"/>
        <w:rPr>
          <w:rFonts w:ascii="Arial" w:hAnsi="Arial" w:cs="Arial"/>
          <w:sz w:val="18"/>
          <w:szCs w:val="18"/>
        </w:rPr>
      </w:pPr>
    </w:p>
    <w:p w14:paraId="7A3B4D9A" w14:textId="2DC21877" w:rsidR="0064336D" w:rsidRDefault="0064336D" w:rsidP="003A1378">
      <w:pPr>
        <w:jc w:val="both"/>
        <w:rPr>
          <w:rFonts w:ascii="Arial" w:hAnsi="Arial" w:cs="Arial"/>
          <w:i/>
          <w:sz w:val="18"/>
          <w:szCs w:val="18"/>
        </w:rPr>
      </w:pPr>
      <w:r>
        <w:rPr>
          <w:rFonts w:ascii="Arial" w:hAnsi="Arial" w:cs="Arial"/>
          <w:i/>
          <w:sz w:val="18"/>
          <w:szCs w:val="18"/>
        </w:rPr>
        <w:t>Department of Health and Social Care</w:t>
      </w:r>
    </w:p>
    <w:p w14:paraId="0A3148BA" w14:textId="68DA8638" w:rsidR="0064336D" w:rsidRPr="0064336D" w:rsidRDefault="0064336D" w:rsidP="003A1378">
      <w:pPr>
        <w:jc w:val="both"/>
        <w:rPr>
          <w:rFonts w:ascii="Arial" w:hAnsi="Arial" w:cs="Arial"/>
          <w:b/>
          <w:i/>
          <w:sz w:val="18"/>
          <w:szCs w:val="18"/>
        </w:rPr>
      </w:pPr>
      <w:r w:rsidRPr="009A65DC">
        <w:rPr>
          <w:rFonts w:ascii="Arial" w:hAnsi="Arial" w:cs="Arial"/>
          <w:sz w:val="18"/>
          <w:szCs w:val="18"/>
        </w:rPr>
        <w:t>Mark Stockbridge,</w:t>
      </w:r>
      <w:r>
        <w:rPr>
          <w:rFonts w:ascii="Arial" w:hAnsi="Arial" w:cs="Arial"/>
          <w:sz w:val="18"/>
          <w:szCs w:val="18"/>
        </w:rPr>
        <w:t xml:space="preserve"> Hannah Fordham, Louise Oliver</w:t>
      </w:r>
    </w:p>
    <w:p w14:paraId="546007BF" w14:textId="77777777" w:rsidR="00EE5E71" w:rsidRDefault="00EE5E71" w:rsidP="003A1378">
      <w:pPr>
        <w:jc w:val="both"/>
        <w:rPr>
          <w:rFonts w:ascii="Arial" w:hAnsi="Arial" w:cs="Arial"/>
          <w:sz w:val="18"/>
          <w:szCs w:val="18"/>
        </w:rPr>
      </w:pPr>
    </w:p>
    <w:p w14:paraId="0316025B" w14:textId="64A60FB7" w:rsidR="00EE5E71" w:rsidRPr="00472166" w:rsidRDefault="00EE5E71" w:rsidP="003A1378">
      <w:pPr>
        <w:jc w:val="both"/>
        <w:rPr>
          <w:rFonts w:ascii="Arial" w:hAnsi="Arial" w:cs="Arial"/>
          <w:i/>
          <w:sz w:val="18"/>
          <w:szCs w:val="18"/>
        </w:rPr>
      </w:pPr>
      <w:r w:rsidRPr="00472166">
        <w:rPr>
          <w:rFonts w:ascii="Arial" w:hAnsi="Arial" w:cs="Arial"/>
          <w:i/>
          <w:sz w:val="18"/>
          <w:szCs w:val="18"/>
        </w:rPr>
        <w:t>Deloitte</w:t>
      </w:r>
      <w:r w:rsidR="00395D2E" w:rsidRPr="00472166">
        <w:rPr>
          <w:rFonts w:ascii="Arial" w:hAnsi="Arial" w:cs="Arial"/>
          <w:i/>
          <w:sz w:val="18"/>
          <w:szCs w:val="18"/>
        </w:rPr>
        <w:t>*</w:t>
      </w:r>
    </w:p>
    <w:p w14:paraId="7E6519F9" w14:textId="07771D75" w:rsidR="00EE5E71" w:rsidRDefault="00EE5E71" w:rsidP="003A1378">
      <w:pPr>
        <w:jc w:val="both"/>
        <w:rPr>
          <w:rFonts w:ascii="Arial" w:hAnsi="Arial" w:cs="Arial"/>
          <w:sz w:val="18"/>
          <w:szCs w:val="18"/>
        </w:rPr>
      </w:pPr>
      <w:r w:rsidRPr="00A85B35">
        <w:rPr>
          <w:rFonts w:ascii="Arial" w:hAnsi="Arial" w:cs="Arial"/>
          <w:sz w:val="18"/>
          <w:szCs w:val="18"/>
        </w:rPr>
        <w:t>Dominic Affron,  David</w:t>
      </w:r>
      <w:r w:rsidRPr="00395D2E">
        <w:rPr>
          <w:rFonts w:ascii="Arial" w:hAnsi="Arial" w:cs="Arial"/>
          <w:sz w:val="18"/>
          <w:szCs w:val="18"/>
        </w:rPr>
        <w:t xml:space="preserve"> Chapman,  </w:t>
      </w:r>
      <w:r w:rsidR="00300EEE" w:rsidRPr="00300EEE">
        <w:rPr>
          <w:rFonts w:ascii="Arial" w:hAnsi="Arial" w:cs="Arial"/>
          <w:sz w:val="18"/>
          <w:szCs w:val="18"/>
        </w:rPr>
        <w:t xml:space="preserve">Toi Neibler, </w:t>
      </w:r>
      <w:r w:rsidRPr="0061774F">
        <w:rPr>
          <w:rFonts w:ascii="Arial" w:hAnsi="Arial" w:cs="Arial"/>
          <w:sz w:val="18"/>
          <w:szCs w:val="18"/>
        </w:rPr>
        <w:t xml:space="preserve">Richard Sedgewick, </w:t>
      </w:r>
      <w:r w:rsidRPr="00A85B35">
        <w:rPr>
          <w:rFonts w:ascii="Arial" w:hAnsi="Arial" w:cs="Arial"/>
          <w:sz w:val="18"/>
          <w:szCs w:val="18"/>
        </w:rPr>
        <w:t>Sami Tatar,</w:t>
      </w:r>
      <w:r w:rsidR="00300EEE">
        <w:rPr>
          <w:rFonts w:ascii="Arial" w:hAnsi="Arial" w:cs="Arial"/>
          <w:sz w:val="18"/>
          <w:szCs w:val="18"/>
        </w:rPr>
        <w:t xml:space="preserve"> Elena Turek</w:t>
      </w:r>
      <w:r w:rsidR="00472166">
        <w:rPr>
          <w:rFonts w:ascii="Arial" w:hAnsi="Arial" w:cs="Arial"/>
          <w:sz w:val="18"/>
          <w:szCs w:val="18"/>
        </w:rPr>
        <w:t xml:space="preserve">. </w:t>
      </w:r>
    </w:p>
    <w:p w14:paraId="3F847754" w14:textId="77777777" w:rsidR="00395D2E" w:rsidRDefault="00395D2E" w:rsidP="003A1378">
      <w:pPr>
        <w:jc w:val="both"/>
        <w:rPr>
          <w:rFonts w:ascii="Arial" w:hAnsi="Arial" w:cs="Arial"/>
          <w:sz w:val="18"/>
          <w:szCs w:val="18"/>
        </w:rPr>
      </w:pPr>
    </w:p>
    <w:p w14:paraId="0024580B" w14:textId="57E2B5FE" w:rsidR="0076616E" w:rsidRPr="00395D2E" w:rsidRDefault="00395D2E" w:rsidP="003A1378">
      <w:pPr>
        <w:jc w:val="both"/>
        <w:rPr>
          <w:rFonts w:ascii="Arial" w:hAnsi="Arial" w:cs="Arial"/>
          <w:i/>
          <w:sz w:val="18"/>
          <w:szCs w:val="18"/>
        </w:rPr>
      </w:pPr>
      <w:r>
        <w:rPr>
          <w:rFonts w:ascii="Arial" w:hAnsi="Arial" w:cs="Arial"/>
          <w:i/>
          <w:sz w:val="18"/>
          <w:szCs w:val="18"/>
        </w:rPr>
        <w:t>*</w:t>
      </w:r>
      <w:r w:rsidRPr="00395D2E">
        <w:rPr>
          <w:rFonts w:ascii="Arial" w:hAnsi="Arial" w:cs="Arial"/>
          <w:i/>
          <w:sz w:val="18"/>
          <w:szCs w:val="18"/>
        </w:rPr>
        <w:t>Deloitte were not part of the research consortium, but provided support to the consortium in delivering this program.</w:t>
      </w:r>
    </w:p>
    <w:p w14:paraId="451A3EDF" w14:textId="77777777" w:rsidR="00395D2E" w:rsidRDefault="00395D2E" w:rsidP="003A1378">
      <w:pPr>
        <w:jc w:val="both"/>
        <w:rPr>
          <w:rFonts w:ascii="Arial" w:hAnsi="Arial" w:cs="Arial"/>
          <w:sz w:val="18"/>
          <w:szCs w:val="18"/>
        </w:rPr>
      </w:pPr>
    </w:p>
    <w:p w14:paraId="2A515D87" w14:textId="2158F90A" w:rsidR="0076616E" w:rsidRPr="0076616E" w:rsidRDefault="0076616E" w:rsidP="003A1378">
      <w:pPr>
        <w:jc w:val="both"/>
        <w:rPr>
          <w:rFonts w:ascii="Arial" w:hAnsi="Arial" w:cs="Arial"/>
          <w:i/>
          <w:sz w:val="18"/>
          <w:szCs w:val="18"/>
        </w:rPr>
      </w:pPr>
      <w:r w:rsidRPr="0076616E">
        <w:rPr>
          <w:rFonts w:ascii="Arial" w:hAnsi="Arial" w:cs="Arial"/>
          <w:i/>
          <w:sz w:val="18"/>
          <w:szCs w:val="18"/>
        </w:rPr>
        <w:t>PA consulting</w:t>
      </w:r>
    </w:p>
    <w:p w14:paraId="6D56C195" w14:textId="4C21AD13" w:rsidR="0076616E" w:rsidRPr="009A65DC" w:rsidRDefault="0076616E" w:rsidP="003A1378">
      <w:pPr>
        <w:jc w:val="both"/>
        <w:rPr>
          <w:rFonts w:ascii="Arial" w:hAnsi="Arial" w:cs="Arial"/>
          <w:sz w:val="18"/>
          <w:szCs w:val="18"/>
        </w:rPr>
      </w:pPr>
      <w:r>
        <w:rPr>
          <w:rFonts w:ascii="Arial" w:hAnsi="Arial" w:cs="Arial"/>
          <w:sz w:val="18"/>
          <w:szCs w:val="18"/>
        </w:rPr>
        <w:t>Louise Oliver</w:t>
      </w:r>
    </w:p>
    <w:p w14:paraId="1008F117" w14:textId="6FA8ACE2" w:rsidR="00C42DE5" w:rsidRDefault="00C42DE5" w:rsidP="003A1378">
      <w:pPr>
        <w:jc w:val="both"/>
        <w:rPr>
          <w:rFonts w:ascii="Arial" w:eastAsiaTheme="minorHAnsi" w:hAnsi="Arial" w:cs="Arial"/>
          <w:sz w:val="18"/>
          <w:szCs w:val="18"/>
        </w:rPr>
      </w:pPr>
    </w:p>
    <w:p w14:paraId="7505A4F2" w14:textId="77777777" w:rsidR="0076616E" w:rsidRDefault="0076616E" w:rsidP="0076616E">
      <w:pPr>
        <w:jc w:val="both"/>
        <w:rPr>
          <w:rFonts w:ascii="Arial" w:hAnsi="Arial" w:cs="Arial"/>
          <w:i/>
          <w:sz w:val="18"/>
          <w:szCs w:val="18"/>
        </w:rPr>
      </w:pPr>
      <w:r>
        <w:rPr>
          <w:rFonts w:ascii="Arial" w:hAnsi="Arial" w:cs="Arial"/>
          <w:i/>
          <w:sz w:val="18"/>
          <w:szCs w:val="18"/>
        </w:rPr>
        <w:t>University Hospitals Birmingham</w:t>
      </w:r>
    </w:p>
    <w:p w14:paraId="7495DA70" w14:textId="098FE3B1" w:rsidR="0076616E" w:rsidRPr="0098080D" w:rsidRDefault="0076616E" w:rsidP="0076616E">
      <w:pPr>
        <w:jc w:val="both"/>
        <w:rPr>
          <w:rFonts w:ascii="Arial" w:hAnsi="Arial" w:cs="Arial"/>
          <w:sz w:val="18"/>
          <w:szCs w:val="18"/>
        </w:rPr>
      </w:pPr>
      <w:r w:rsidRPr="0098080D">
        <w:rPr>
          <w:rFonts w:ascii="Arial" w:hAnsi="Arial" w:cs="Arial"/>
          <w:sz w:val="18"/>
          <w:szCs w:val="18"/>
        </w:rPr>
        <w:t>Oliver Topping</w:t>
      </w:r>
    </w:p>
    <w:p w14:paraId="701EA7DC" w14:textId="631A835A" w:rsidR="0098080D" w:rsidRDefault="0098080D" w:rsidP="0076616E">
      <w:pPr>
        <w:jc w:val="both"/>
        <w:rPr>
          <w:rFonts w:ascii="Arial" w:hAnsi="Arial" w:cs="Arial"/>
          <w:i/>
          <w:sz w:val="18"/>
          <w:szCs w:val="18"/>
        </w:rPr>
      </w:pPr>
    </w:p>
    <w:p w14:paraId="0B2E0B36" w14:textId="47C9BDCE" w:rsidR="0098080D" w:rsidRDefault="0098080D" w:rsidP="0076616E">
      <w:pPr>
        <w:jc w:val="both"/>
        <w:rPr>
          <w:rFonts w:ascii="Arial" w:hAnsi="Arial" w:cs="Arial"/>
          <w:i/>
          <w:sz w:val="18"/>
          <w:szCs w:val="18"/>
        </w:rPr>
      </w:pPr>
      <w:r>
        <w:rPr>
          <w:rFonts w:ascii="Arial" w:hAnsi="Arial" w:cs="Arial"/>
          <w:i/>
          <w:sz w:val="18"/>
          <w:szCs w:val="18"/>
        </w:rPr>
        <w:t>Sandwell and West Birmingham Hospitals NHS Trust</w:t>
      </w:r>
    </w:p>
    <w:p w14:paraId="218356F6" w14:textId="47C33952" w:rsidR="0098080D" w:rsidRPr="0098080D" w:rsidRDefault="0098080D" w:rsidP="0076616E">
      <w:pPr>
        <w:jc w:val="both"/>
        <w:rPr>
          <w:rFonts w:ascii="Arial" w:hAnsi="Arial" w:cs="Arial"/>
          <w:sz w:val="18"/>
          <w:szCs w:val="18"/>
        </w:rPr>
      </w:pPr>
      <w:r>
        <w:rPr>
          <w:rFonts w:ascii="Arial" w:hAnsi="Arial" w:cs="Arial"/>
          <w:sz w:val="18"/>
          <w:szCs w:val="18"/>
        </w:rPr>
        <w:t>Thomas Knight</w:t>
      </w:r>
    </w:p>
    <w:p w14:paraId="60A51908" w14:textId="38BE1F33" w:rsidR="003213FB" w:rsidRDefault="003213FB" w:rsidP="0076616E">
      <w:pPr>
        <w:jc w:val="both"/>
        <w:rPr>
          <w:rFonts w:ascii="Arial" w:hAnsi="Arial" w:cs="Arial"/>
          <w:i/>
          <w:sz w:val="18"/>
          <w:szCs w:val="18"/>
        </w:rPr>
      </w:pPr>
    </w:p>
    <w:p w14:paraId="58387A6D" w14:textId="27E14971" w:rsidR="003213FB" w:rsidRDefault="003213FB" w:rsidP="003213FB">
      <w:pPr>
        <w:jc w:val="both"/>
        <w:rPr>
          <w:rFonts w:ascii="Arial" w:hAnsi="Arial" w:cs="Arial"/>
          <w:i/>
          <w:sz w:val="18"/>
          <w:szCs w:val="18"/>
        </w:rPr>
      </w:pPr>
      <w:r w:rsidRPr="003213FB">
        <w:rPr>
          <w:rFonts w:ascii="Arial" w:hAnsi="Arial" w:cs="Arial"/>
          <w:i/>
          <w:sz w:val="18"/>
          <w:szCs w:val="18"/>
        </w:rPr>
        <w:t>Manchester University NHS Foundation Trust</w:t>
      </w:r>
    </w:p>
    <w:p w14:paraId="5B8A7853" w14:textId="586E6917" w:rsidR="003213FB" w:rsidRPr="003213FB" w:rsidRDefault="003213FB" w:rsidP="003213FB">
      <w:pPr>
        <w:jc w:val="both"/>
        <w:rPr>
          <w:rFonts w:ascii="Arial" w:hAnsi="Arial" w:cs="Arial"/>
          <w:sz w:val="18"/>
          <w:szCs w:val="18"/>
        </w:rPr>
      </w:pPr>
      <w:r w:rsidRPr="00C42DE5">
        <w:rPr>
          <w:rFonts w:ascii="Arial" w:hAnsi="Arial" w:cs="Arial"/>
          <w:sz w:val="18"/>
          <w:szCs w:val="18"/>
        </w:rPr>
        <w:t>Elo</w:t>
      </w:r>
      <w:r>
        <w:rPr>
          <w:rFonts w:ascii="Arial" w:hAnsi="Arial" w:cs="Arial"/>
          <w:sz w:val="18"/>
          <w:szCs w:val="18"/>
        </w:rPr>
        <w:t>ï</w:t>
      </w:r>
      <w:r w:rsidRPr="00C42DE5">
        <w:rPr>
          <w:rFonts w:ascii="Arial" w:hAnsi="Arial" w:cs="Arial"/>
          <w:sz w:val="18"/>
          <w:szCs w:val="18"/>
        </w:rPr>
        <w:t>se Cook</w:t>
      </w:r>
    </w:p>
    <w:p w14:paraId="34FD507D" w14:textId="77777777" w:rsidR="0076616E" w:rsidRDefault="0076616E" w:rsidP="003A1378">
      <w:pPr>
        <w:jc w:val="both"/>
        <w:rPr>
          <w:rFonts w:ascii="Arial" w:eastAsiaTheme="minorHAnsi" w:hAnsi="Arial" w:cs="Arial"/>
          <w:sz w:val="18"/>
          <w:szCs w:val="18"/>
        </w:rPr>
      </w:pPr>
    </w:p>
    <w:p w14:paraId="07B6C31A" w14:textId="3C3F9A22" w:rsidR="00EE5E71" w:rsidRDefault="00EE5E71" w:rsidP="003A1378">
      <w:pPr>
        <w:jc w:val="both"/>
        <w:rPr>
          <w:rFonts w:ascii="Arial" w:eastAsiaTheme="minorHAnsi" w:hAnsi="Arial" w:cs="Arial"/>
          <w:i/>
          <w:sz w:val="18"/>
          <w:szCs w:val="18"/>
        </w:rPr>
      </w:pPr>
      <w:r>
        <w:rPr>
          <w:rFonts w:ascii="Arial" w:eastAsiaTheme="minorHAnsi" w:hAnsi="Arial" w:cs="Arial"/>
          <w:i/>
          <w:sz w:val="18"/>
          <w:szCs w:val="18"/>
        </w:rPr>
        <w:t>St John Ambulance</w:t>
      </w:r>
    </w:p>
    <w:p w14:paraId="45600DF8" w14:textId="7FD93716" w:rsidR="00C96448" w:rsidRDefault="00EE5E71" w:rsidP="003A1378">
      <w:pPr>
        <w:jc w:val="both"/>
        <w:rPr>
          <w:rFonts w:ascii="Arial" w:eastAsiaTheme="minorHAnsi" w:hAnsi="Arial" w:cs="Arial"/>
          <w:sz w:val="18"/>
          <w:szCs w:val="18"/>
        </w:rPr>
      </w:pPr>
      <w:r w:rsidRPr="00EE5E71">
        <w:rPr>
          <w:rFonts w:ascii="Arial" w:eastAsiaTheme="minorHAnsi" w:hAnsi="Arial" w:cs="Arial"/>
          <w:sz w:val="18"/>
          <w:szCs w:val="18"/>
        </w:rPr>
        <w:t>Chris Bridgeman, Dominic Britton, Ben Corley, Graham Ellis, Des Markham, Mary Walters</w:t>
      </w:r>
    </w:p>
    <w:p w14:paraId="44CFB971" w14:textId="77777777" w:rsidR="00CB1BDC" w:rsidRDefault="00CB1BDC" w:rsidP="003A1378">
      <w:pPr>
        <w:jc w:val="both"/>
        <w:rPr>
          <w:rFonts w:ascii="Arial" w:eastAsiaTheme="minorHAnsi" w:hAnsi="Arial" w:cs="Arial"/>
          <w:sz w:val="18"/>
          <w:szCs w:val="18"/>
        </w:rPr>
      </w:pPr>
    </w:p>
    <w:p w14:paraId="1436D1C9" w14:textId="65476DCA" w:rsidR="006D16F7" w:rsidRPr="00A85830" w:rsidRDefault="001E44DA" w:rsidP="003A1378">
      <w:pPr>
        <w:jc w:val="both"/>
        <w:rPr>
          <w:rFonts w:ascii="Arial" w:hAnsi="Arial" w:cs="Arial"/>
          <w:sz w:val="18"/>
          <w:szCs w:val="18"/>
        </w:rPr>
      </w:pPr>
      <w:r>
        <w:rPr>
          <w:rFonts w:ascii="Arial" w:hAnsi="Arial" w:cs="Arial"/>
          <w:sz w:val="18"/>
          <w:szCs w:val="18"/>
        </w:rPr>
        <w:t xml:space="preserve"> </w:t>
      </w:r>
    </w:p>
    <w:sectPr w:rsidR="006D16F7" w:rsidRPr="00A85830" w:rsidSect="0058393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830"/>
    <w:rsid w:val="00013C02"/>
    <w:rsid w:val="0002477D"/>
    <w:rsid w:val="00037512"/>
    <w:rsid w:val="000448D9"/>
    <w:rsid w:val="000650A6"/>
    <w:rsid w:val="0006559D"/>
    <w:rsid w:val="00080F89"/>
    <w:rsid w:val="00084910"/>
    <w:rsid w:val="00090CCF"/>
    <w:rsid w:val="000978EC"/>
    <w:rsid w:val="000F47A0"/>
    <w:rsid w:val="00136BBB"/>
    <w:rsid w:val="00153849"/>
    <w:rsid w:val="00160B3C"/>
    <w:rsid w:val="001675D0"/>
    <w:rsid w:val="001732D1"/>
    <w:rsid w:val="00191B7B"/>
    <w:rsid w:val="001C726F"/>
    <w:rsid w:val="001D62B9"/>
    <w:rsid w:val="001D677A"/>
    <w:rsid w:val="001E1424"/>
    <w:rsid w:val="001E44DA"/>
    <w:rsid w:val="00204BA3"/>
    <w:rsid w:val="0021461A"/>
    <w:rsid w:val="00217009"/>
    <w:rsid w:val="00217AF9"/>
    <w:rsid w:val="00223044"/>
    <w:rsid w:val="00224784"/>
    <w:rsid w:val="002318BE"/>
    <w:rsid w:val="00257CA9"/>
    <w:rsid w:val="002831FD"/>
    <w:rsid w:val="002878A2"/>
    <w:rsid w:val="002B0FFC"/>
    <w:rsid w:val="002F1FBB"/>
    <w:rsid w:val="00300EEE"/>
    <w:rsid w:val="003213FB"/>
    <w:rsid w:val="00386018"/>
    <w:rsid w:val="00391F26"/>
    <w:rsid w:val="00395D2E"/>
    <w:rsid w:val="003A1378"/>
    <w:rsid w:val="003A6852"/>
    <w:rsid w:val="00472166"/>
    <w:rsid w:val="004B543C"/>
    <w:rsid w:val="004B5A1D"/>
    <w:rsid w:val="004C466C"/>
    <w:rsid w:val="004C5F7E"/>
    <w:rsid w:val="004E5E9A"/>
    <w:rsid w:val="00515230"/>
    <w:rsid w:val="00531E96"/>
    <w:rsid w:val="00576422"/>
    <w:rsid w:val="00583936"/>
    <w:rsid w:val="005B342D"/>
    <w:rsid w:val="005B7362"/>
    <w:rsid w:val="005D20C7"/>
    <w:rsid w:val="005E47F8"/>
    <w:rsid w:val="0061774F"/>
    <w:rsid w:val="0064336D"/>
    <w:rsid w:val="0065507C"/>
    <w:rsid w:val="00662AD3"/>
    <w:rsid w:val="00673E51"/>
    <w:rsid w:val="006B5857"/>
    <w:rsid w:val="006D16F7"/>
    <w:rsid w:val="006E37A1"/>
    <w:rsid w:val="006F0C6A"/>
    <w:rsid w:val="00707376"/>
    <w:rsid w:val="007073E3"/>
    <w:rsid w:val="00711F50"/>
    <w:rsid w:val="00712BC9"/>
    <w:rsid w:val="0076616E"/>
    <w:rsid w:val="00781AD3"/>
    <w:rsid w:val="00786A98"/>
    <w:rsid w:val="00791FEB"/>
    <w:rsid w:val="007D02E4"/>
    <w:rsid w:val="007E7735"/>
    <w:rsid w:val="007F4C93"/>
    <w:rsid w:val="00820FBB"/>
    <w:rsid w:val="008246FB"/>
    <w:rsid w:val="008306D8"/>
    <w:rsid w:val="008405C8"/>
    <w:rsid w:val="00864A2D"/>
    <w:rsid w:val="008817DB"/>
    <w:rsid w:val="00894802"/>
    <w:rsid w:val="008A1DB8"/>
    <w:rsid w:val="008A3847"/>
    <w:rsid w:val="008B0C65"/>
    <w:rsid w:val="008D667D"/>
    <w:rsid w:val="008F2206"/>
    <w:rsid w:val="008F34B8"/>
    <w:rsid w:val="00962EAD"/>
    <w:rsid w:val="0096366B"/>
    <w:rsid w:val="009648A7"/>
    <w:rsid w:val="00973C5F"/>
    <w:rsid w:val="0098080D"/>
    <w:rsid w:val="009A2384"/>
    <w:rsid w:val="009A65DC"/>
    <w:rsid w:val="009F2006"/>
    <w:rsid w:val="009F20C9"/>
    <w:rsid w:val="00A03178"/>
    <w:rsid w:val="00A10031"/>
    <w:rsid w:val="00A11706"/>
    <w:rsid w:val="00A450C7"/>
    <w:rsid w:val="00A617DC"/>
    <w:rsid w:val="00A61BD3"/>
    <w:rsid w:val="00A83F1D"/>
    <w:rsid w:val="00A85830"/>
    <w:rsid w:val="00A85B35"/>
    <w:rsid w:val="00AB788A"/>
    <w:rsid w:val="00AC735F"/>
    <w:rsid w:val="00B41892"/>
    <w:rsid w:val="00B71AFB"/>
    <w:rsid w:val="00B90B25"/>
    <w:rsid w:val="00B91DB0"/>
    <w:rsid w:val="00B94393"/>
    <w:rsid w:val="00B95309"/>
    <w:rsid w:val="00BA7A05"/>
    <w:rsid w:val="00BB3C15"/>
    <w:rsid w:val="00BE1DE8"/>
    <w:rsid w:val="00C11655"/>
    <w:rsid w:val="00C42DE5"/>
    <w:rsid w:val="00C52C12"/>
    <w:rsid w:val="00C53CDC"/>
    <w:rsid w:val="00C61979"/>
    <w:rsid w:val="00C64AAA"/>
    <w:rsid w:val="00C6629D"/>
    <w:rsid w:val="00C96448"/>
    <w:rsid w:val="00CA3EEB"/>
    <w:rsid w:val="00CA69D8"/>
    <w:rsid w:val="00CB1BDC"/>
    <w:rsid w:val="00CB2BDC"/>
    <w:rsid w:val="00CC003F"/>
    <w:rsid w:val="00CD3040"/>
    <w:rsid w:val="00CD33F5"/>
    <w:rsid w:val="00CE4C2A"/>
    <w:rsid w:val="00CE76A4"/>
    <w:rsid w:val="00CF0875"/>
    <w:rsid w:val="00D0630B"/>
    <w:rsid w:val="00D23D74"/>
    <w:rsid w:val="00D33CED"/>
    <w:rsid w:val="00D53FCC"/>
    <w:rsid w:val="00D55512"/>
    <w:rsid w:val="00D63EFA"/>
    <w:rsid w:val="00D813C0"/>
    <w:rsid w:val="00DB79BA"/>
    <w:rsid w:val="00DC00BE"/>
    <w:rsid w:val="00DC51A4"/>
    <w:rsid w:val="00DE3384"/>
    <w:rsid w:val="00E02D91"/>
    <w:rsid w:val="00E160F4"/>
    <w:rsid w:val="00E61364"/>
    <w:rsid w:val="00E92419"/>
    <w:rsid w:val="00EC5BE1"/>
    <w:rsid w:val="00EE5E71"/>
    <w:rsid w:val="00EF1C4C"/>
    <w:rsid w:val="00F0373C"/>
    <w:rsid w:val="00F05A27"/>
    <w:rsid w:val="00F06387"/>
    <w:rsid w:val="00F1764D"/>
    <w:rsid w:val="00F20BD4"/>
    <w:rsid w:val="00F3540C"/>
    <w:rsid w:val="00F4136D"/>
    <w:rsid w:val="00F44987"/>
    <w:rsid w:val="00F712B1"/>
    <w:rsid w:val="00FA5C21"/>
    <w:rsid w:val="00FA5CEA"/>
    <w:rsid w:val="00FD5306"/>
    <w:rsid w:val="00FD6974"/>
    <w:rsid w:val="00FE1E3F"/>
    <w:rsid w:val="00FF2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366F"/>
  <w15:chartTrackingRefBased/>
  <w15:docId w15:val="{36658C94-0E1E-EB41-9CED-5EA1A9D53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2DE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DE5"/>
    <w:pPr>
      <w:ind w:left="720"/>
      <w:contextualSpacing/>
    </w:pPr>
  </w:style>
  <w:style w:type="character" w:styleId="CommentReference">
    <w:name w:val="annotation reference"/>
    <w:basedOn w:val="DefaultParagraphFont"/>
    <w:uiPriority w:val="99"/>
    <w:semiHidden/>
    <w:unhideWhenUsed/>
    <w:rsid w:val="00C61979"/>
    <w:rPr>
      <w:sz w:val="16"/>
      <w:szCs w:val="16"/>
    </w:rPr>
  </w:style>
  <w:style w:type="paragraph" w:styleId="CommentText">
    <w:name w:val="annotation text"/>
    <w:basedOn w:val="Normal"/>
    <w:link w:val="CommentTextChar"/>
    <w:uiPriority w:val="99"/>
    <w:semiHidden/>
    <w:unhideWhenUsed/>
    <w:rsid w:val="00C61979"/>
    <w:rPr>
      <w:sz w:val="20"/>
      <w:szCs w:val="20"/>
    </w:rPr>
  </w:style>
  <w:style w:type="character" w:customStyle="1" w:styleId="CommentTextChar">
    <w:name w:val="Comment Text Char"/>
    <w:basedOn w:val="DefaultParagraphFont"/>
    <w:link w:val="CommentText"/>
    <w:uiPriority w:val="99"/>
    <w:semiHidden/>
    <w:rsid w:val="00C619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1979"/>
    <w:rPr>
      <w:b/>
      <w:bCs/>
    </w:rPr>
  </w:style>
  <w:style w:type="character" w:customStyle="1" w:styleId="CommentSubjectChar">
    <w:name w:val="Comment Subject Char"/>
    <w:basedOn w:val="CommentTextChar"/>
    <w:link w:val="CommentSubject"/>
    <w:uiPriority w:val="99"/>
    <w:semiHidden/>
    <w:rsid w:val="00C6197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61979"/>
    <w:rPr>
      <w:sz w:val="18"/>
      <w:szCs w:val="18"/>
    </w:rPr>
  </w:style>
  <w:style w:type="character" w:customStyle="1" w:styleId="BalloonTextChar">
    <w:name w:val="Balloon Text Char"/>
    <w:basedOn w:val="DefaultParagraphFont"/>
    <w:link w:val="BalloonText"/>
    <w:uiPriority w:val="99"/>
    <w:semiHidden/>
    <w:rsid w:val="00C61979"/>
    <w:rPr>
      <w:rFonts w:ascii="Times New Roman" w:eastAsia="Times New Roman" w:hAnsi="Times New Roman" w:cs="Times New Roman"/>
      <w:sz w:val="18"/>
      <w:szCs w:val="18"/>
    </w:rPr>
  </w:style>
  <w:style w:type="paragraph" w:styleId="NormalWeb">
    <w:name w:val="Normal (Web)"/>
    <w:basedOn w:val="Normal"/>
    <w:uiPriority w:val="99"/>
    <w:unhideWhenUsed/>
    <w:rsid w:val="00B90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78057">
      <w:bodyDiv w:val="1"/>
      <w:marLeft w:val="0"/>
      <w:marRight w:val="0"/>
      <w:marTop w:val="0"/>
      <w:marBottom w:val="0"/>
      <w:divBdr>
        <w:top w:val="none" w:sz="0" w:space="0" w:color="auto"/>
        <w:left w:val="none" w:sz="0" w:space="0" w:color="auto"/>
        <w:bottom w:val="none" w:sz="0" w:space="0" w:color="auto"/>
        <w:right w:val="none" w:sz="0" w:space="0" w:color="auto"/>
      </w:divBdr>
    </w:div>
    <w:div w:id="254630857">
      <w:bodyDiv w:val="1"/>
      <w:marLeft w:val="0"/>
      <w:marRight w:val="0"/>
      <w:marTop w:val="0"/>
      <w:marBottom w:val="0"/>
      <w:divBdr>
        <w:top w:val="none" w:sz="0" w:space="0" w:color="auto"/>
        <w:left w:val="none" w:sz="0" w:space="0" w:color="auto"/>
        <w:bottom w:val="none" w:sz="0" w:space="0" w:color="auto"/>
        <w:right w:val="none" w:sz="0" w:space="0" w:color="auto"/>
      </w:divBdr>
    </w:div>
    <w:div w:id="279996185">
      <w:bodyDiv w:val="1"/>
      <w:marLeft w:val="0"/>
      <w:marRight w:val="0"/>
      <w:marTop w:val="0"/>
      <w:marBottom w:val="0"/>
      <w:divBdr>
        <w:top w:val="none" w:sz="0" w:space="0" w:color="auto"/>
        <w:left w:val="none" w:sz="0" w:space="0" w:color="auto"/>
        <w:bottom w:val="none" w:sz="0" w:space="0" w:color="auto"/>
        <w:right w:val="none" w:sz="0" w:space="0" w:color="auto"/>
      </w:divBdr>
    </w:div>
    <w:div w:id="287786413">
      <w:bodyDiv w:val="1"/>
      <w:marLeft w:val="0"/>
      <w:marRight w:val="0"/>
      <w:marTop w:val="0"/>
      <w:marBottom w:val="0"/>
      <w:divBdr>
        <w:top w:val="none" w:sz="0" w:space="0" w:color="auto"/>
        <w:left w:val="none" w:sz="0" w:space="0" w:color="auto"/>
        <w:bottom w:val="none" w:sz="0" w:space="0" w:color="auto"/>
        <w:right w:val="none" w:sz="0" w:space="0" w:color="auto"/>
      </w:divBdr>
    </w:div>
    <w:div w:id="294219810">
      <w:bodyDiv w:val="1"/>
      <w:marLeft w:val="0"/>
      <w:marRight w:val="0"/>
      <w:marTop w:val="0"/>
      <w:marBottom w:val="0"/>
      <w:divBdr>
        <w:top w:val="none" w:sz="0" w:space="0" w:color="auto"/>
        <w:left w:val="none" w:sz="0" w:space="0" w:color="auto"/>
        <w:bottom w:val="none" w:sz="0" w:space="0" w:color="auto"/>
        <w:right w:val="none" w:sz="0" w:space="0" w:color="auto"/>
      </w:divBdr>
    </w:div>
    <w:div w:id="330302065">
      <w:bodyDiv w:val="1"/>
      <w:marLeft w:val="0"/>
      <w:marRight w:val="0"/>
      <w:marTop w:val="0"/>
      <w:marBottom w:val="0"/>
      <w:divBdr>
        <w:top w:val="none" w:sz="0" w:space="0" w:color="auto"/>
        <w:left w:val="none" w:sz="0" w:space="0" w:color="auto"/>
        <w:bottom w:val="none" w:sz="0" w:space="0" w:color="auto"/>
        <w:right w:val="none" w:sz="0" w:space="0" w:color="auto"/>
      </w:divBdr>
    </w:div>
    <w:div w:id="349111401">
      <w:bodyDiv w:val="1"/>
      <w:marLeft w:val="0"/>
      <w:marRight w:val="0"/>
      <w:marTop w:val="0"/>
      <w:marBottom w:val="0"/>
      <w:divBdr>
        <w:top w:val="none" w:sz="0" w:space="0" w:color="auto"/>
        <w:left w:val="none" w:sz="0" w:space="0" w:color="auto"/>
        <w:bottom w:val="none" w:sz="0" w:space="0" w:color="auto"/>
        <w:right w:val="none" w:sz="0" w:space="0" w:color="auto"/>
      </w:divBdr>
    </w:div>
    <w:div w:id="447967630">
      <w:bodyDiv w:val="1"/>
      <w:marLeft w:val="0"/>
      <w:marRight w:val="0"/>
      <w:marTop w:val="0"/>
      <w:marBottom w:val="0"/>
      <w:divBdr>
        <w:top w:val="none" w:sz="0" w:space="0" w:color="auto"/>
        <w:left w:val="none" w:sz="0" w:space="0" w:color="auto"/>
        <w:bottom w:val="none" w:sz="0" w:space="0" w:color="auto"/>
        <w:right w:val="none" w:sz="0" w:space="0" w:color="auto"/>
      </w:divBdr>
    </w:div>
    <w:div w:id="450249227">
      <w:bodyDiv w:val="1"/>
      <w:marLeft w:val="0"/>
      <w:marRight w:val="0"/>
      <w:marTop w:val="0"/>
      <w:marBottom w:val="0"/>
      <w:divBdr>
        <w:top w:val="none" w:sz="0" w:space="0" w:color="auto"/>
        <w:left w:val="none" w:sz="0" w:space="0" w:color="auto"/>
        <w:bottom w:val="none" w:sz="0" w:space="0" w:color="auto"/>
        <w:right w:val="none" w:sz="0" w:space="0" w:color="auto"/>
      </w:divBdr>
    </w:div>
    <w:div w:id="483545161">
      <w:bodyDiv w:val="1"/>
      <w:marLeft w:val="0"/>
      <w:marRight w:val="0"/>
      <w:marTop w:val="0"/>
      <w:marBottom w:val="0"/>
      <w:divBdr>
        <w:top w:val="none" w:sz="0" w:space="0" w:color="auto"/>
        <w:left w:val="none" w:sz="0" w:space="0" w:color="auto"/>
        <w:bottom w:val="none" w:sz="0" w:space="0" w:color="auto"/>
        <w:right w:val="none" w:sz="0" w:space="0" w:color="auto"/>
      </w:divBdr>
    </w:div>
    <w:div w:id="602152840">
      <w:bodyDiv w:val="1"/>
      <w:marLeft w:val="0"/>
      <w:marRight w:val="0"/>
      <w:marTop w:val="0"/>
      <w:marBottom w:val="0"/>
      <w:divBdr>
        <w:top w:val="none" w:sz="0" w:space="0" w:color="auto"/>
        <w:left w:val="none" w:sz="0" w:space="0" w:color="auto"/>
        <w:bottom w:val="none" w:sz="0" w:space="0" w:color="auto"/>
        <w:right w:val="none" w:sz="0" w:space="0" w:color="auto"/>
      </w:divBdr>
    </w:div>
    <w:div w:id="606237431">
      <w:bodyDiv w:val="1"/>
      <w:marLeft w:val="0"/>
      <w:marRight w:val="0"/>
      <w:marTop w:val="0"/>
      <w:marBottom w:val="0"/>
      <w:divBdr>
        <w:top w:val="none" w:sz="0" w:space="0" w:color="auto"/>
        <w:left w:val="none" w:sz="0" w:space="0" w:color="auto"/>
        <w:bottom w:val="none" w:sz="0" w:space="0" w:color="auto"/>
        <w:right w:val="none" w:sz="0" w:space="0" w:color="auto"/>
      </w:divBdr>
    </w:div>
    <w:div w:id="696661864">
      <w:bodyDiv w:val="1"/>
      <w:marLeft w:val="0"/>
      <w:marRight w:val="0"/>
      <w:marTop w:val="0"/>
      <w:marBottom w:val="0"/>
      <w:divBdr>
        <w:top w:val="none" w:sz="0" w:space="0" w:color="auto"/>
        <w:left w:val="none" w:sz="0" w:space="0" w:color="auto"/>
        <w:bottom w:val="none" w:sz="0" w:space="0" w:color="auto"/>
        <w:right w:val="none" w:sz="0" w:space="0" w:color="auto"/>
      </w:divBdr>
    </w:div>
    <w:div w:id="770903078">
      <w:bodyDiv w:val="1"/>
      <w:marLeft w:val="0"/>
      <w:marRight w:val="0"/>
      <w:marTop w:val="0"/>
      <w:marBottom w:val="0"/>
      <w:divBdr>
        <w:top w:val="none" w:sz="0" w:space="0" w:color="auto"/>
        <w:left w:val="none" w:sz="0" w:space="0" w:color="auto"/>
        <w:bottom w:val="none" w:sz="0" w:space="0" w:color="auto"/>
        <w:right w:val="none" w:sz="0" w:space="0" w:color="auto"/>
      </w:divBdr>
    </w:div>
    <w:div w:id="778061211">
      <w:bodyDiv w:val="1"/>
      <w:marLeft w:val="0"/>
      <w:marRight w:val="0"/>
      <w:marTop w:val="0"/>
      <w:marBottom w:val="0"/>
      <w:divBdr>
        <w:top w:val="none" w:sz="0" w:space="0" w:color="auto"/>
        <w:left w:val="none" w:sz="0" w:space="0" w:color="auto"/>
        <w:bottom w:val="none" w:sz="0" w:space="0" w:color="auto"/>
        <w:right w:val="none" w:sz="0" w:space="0" w:color="auto"/>
      </w:divBdr>
    </w:div>
    <w:div w:id="858658920">
      <w:bodyDiv w:val="1"/>
      <w:marLeft w:val="0"/>
      <w:marRight w:val="0"/>
      <w:marTop w:val="0"/>
      <w:marBottom w:val="0"/>
      <w:divBdr>
        <w:top w:val="none" w:sz="0" w:space="0" w:color="auto"/>
        <w:left w:val="none" w:sz="0" w:space="0" w:color="auto"/>
        <w:bottom w:val="none" w:sz="0" w:space="0" w:color="auto"/>
        <w:right w:val="none" w:sz="0" w:space="0" w:color="auto"/>
      </w:divBdr>
    </w:div>
    <w:div w:id="887882976">
      <w:bodyDiv w:val="1"/>
      <w:marLeft w:val="0"/>
      <w:marRight w:val="0"/>
      <w:marTop w:val="0"/>
      <w:marBottom w:val="0"/>
      <w:divBdr>
        <w:top w:val="none" w:sz="0" w:space="0" w:color="auto"/>
        <w:left w:val="none" w:sz="0" w:space="0" w:color="auto"/>
        <w:bottom w:val="none" w:sz="0" w:space="0" w:color="auto"/>
        <w:right w:val="none" w:sz="0" w:space="0" w:color="auto"/>
      </w:divBdr>
    </w:div>
    <w:div w:id="903442848">
      <w:bodyDiv w:val="1"/>
      <w:marLeft w:val="0"/>
      <w:marRight w:val="0"/>
      <w:marTop w:val="0"/>
      <w:marBottom w:val="0"/>
      <w:divBdr>
        <w:top w:val="none" w:sz="0" w:space="0" w:color="auto"/>
        <w:left w:val="none" w:sz="0" w:space="0" w:color="auto"/>
        <w:bottom w:val="none" w:sz="0" w:space="0" w:color="auto"/>
        <w:right w:val="none" w:sz="0" w:space="0" w:color="auto"/>
      </w:divBdr>
    </w:div>
    <w:div w:id="1007750832">
      <w:bodyDiv w:val="1"/>
      <w:marLeft w:val="0"/>
      <w:marRight w:val="0"/>
      <w:marTop w:val="0"/>
      <w:marBottom w:val="0"/>
      <w:divBdr>
        <w:top w:val="none" w:sz="0" w:space="0" w:color="auto"/>
        <w:left w:val="none" w:sz="0" w:space="0" w:color="auto"/>
        <w:bottom w:val="none" w:sz="0" w:space="0" w:color="auto"/>
        <w:right w:val="none" w:sz="0" w:space="0" w:color="auto"/>
      </w:divBdr>
    </w:div>
    <w:div w:id="1068040245">
      <w:bodyDiv w:val="1"/>
      <w:marLeft w:val="0"/>
      <w:marRight w:val="0"/>
      <w:marTop w:val="0"/>
      <w:marBottom w:val="0"/>
      <w:divBdr>
        <w:top w:val="none" w:sz="0" w:space="0" w:color="auto"/>
        <w:left w:val="none" w:sz="0" w:space="0" w:color="auto"/>
        <w:bottom w:val="none" w:sz="0" w:space="0" w:color="auto"/>
        <w:right w:val="none" w:sz="0" w:space="0" w:color="auto"/>
      </w:divBdr>
    </w:div>
    <w:div w:id="1072316338">
      <w:bodyDiv w:val="1"/>
      <w:marLeft w:val="0"/>
      <w:marRight w:val="0"/>
      <w:marTop w:val="0"/>
      <w:marBottom w:val="0"/>
      <w:divBdr>
        <w:top w:val="none" w:sz="0" w:space="0" w:color="auto"/>
        <w:left w:val="none" w:sz="0" w:space="0" w:color="auto"/>
        <w:bottom w:val="none" w:sz="0" w:space="0" w:color="auto"/>
        <w:right w:val="none" w:sz="0" w:space="0" w:color="auto"/>
      </w:divBdr>
    </w:div>
    <w:div w:id="1200783280">
      <w:bodyDiv w:val="1"/>
      <w:marLeft w:val="0"/>
      <w:marRight w:val="0"/>
      <w:marTop w:val="0"/>
      <w:marBottom w:val="0"/>
      <w:divBdr>
        <w:top w:val="none" w:sz="0" w:space="0" w:color="auto"/>
        <w:left w:val="none" w:sz="0" w:space="0" w:color="auto"/>
        <w:bottom w:val="none" w:sz="0" w:space="0" w:color="auto"/>
        <w:right w:val="none" w:sz="0" w:space="0" w:color="auto"/>
      </w:divBdr>
    </w:div>
    <w:div w:id="1204905908">
      <w:bodyDiv w:val="1"/>
      <w:marLeft w:val="0"/>
      <w:marRight w:val="0"/>
      <w:marTop w:val="0"/>
      <w:marBottom w:val="0"/>
      <w:divBdr>
        <w:top w:val="none" w:sz="0" w:space="0" w:color="auto"/>
        <w:left w:val="none" w:sz="0" w:space="0" w:color="auto"/>
        <w:bottom w:val="none" w:sz="0" w:space="0" w:color="auto"/>
        <w:right w:val="none" w:sz="0" w:space="0" w:color="auto"/>
      </w:divBdr>
    </w:div>
    <w:div w:id="1254776709">
      <w:bodyDiv w:val="1"/>
      <w:marLeft w:val="0"/>
      <w:marRight w:val="0"/>
      <w:marTop w:val="0"/>
      <w:marBottom w:val="0"/>
      <w:divBdr>
        <w:top w:val="none" w:sz="0" w:space="0" w:color="auto"/>
        <w:left w:val="none" w:sz="0" w:space="0" w:color="auto"/>
        <w:bottom w:val="none" w:sz="0" w:space="0" w:color="auto"/>
        <w:right w:val="none" w:sz="0" w:space="0" w:color="auto"/>
      </w:divBdr>
    </w:div>
    <w:div w:id="1338576032">
      <w:bodyDiv w:val="1"/>
      <w:marLeft w:val="0"/>
      <w:marRight w:val="0"/>
      <w:marTop w:val="0"/>
      <w:marBottom w:val="0"/>
      <w:divBdr>
        <w:top w:val="none" w:sz="0" w:space="0" w:color="auto"/>
        <w:left w:val="none" w:sz="0" w:space="0" w:color="auto"/>
        <w:bottom w:val="none" w:sz="0" w:space="0" w:color="auto"/>
        <w:right w:val="none" w:sz="0" w:space="0" w:color="auto"/>
      </w:divBdr>
    </w:div>
    <w:div w:id="1389498647">
      <w:bodyDiv w:val="1"/>
      <w:marLeft w:val="0"/>
      <w:marRight w:val="0"/>
      <w:marTop w:val="0"/>
      <w:marBottom w:val="0"/>
      <w:divBdr>
        <w:top w:val="none" w:sz="0" w:space="0" w:color="auto"/>
        <w:left w:val="none" w:sz="0" w:space="0" w:color="auto"/>
        <w:bottom w:val="none" w:sz="0" w:space="0" w:color="auto"/>
        <w:right w:val="none" w:sz="0" w:space="0" w:color="auto"/>
      </w:divBdr>
    </w:div>
    <w:div w:id="1399478975">
      <w:bodyDiv w:val="1"/>
      <w:marLeft w:val="0"/>
      <w:marRight w:val="0"/>
      <w:marTop w:val="0"/>
      <w:marBottom w:val="0"/>
      <w:divBdr>
        <w:top w:val="none" w:sz="0" w:space="0" w:color="auto"/>
        <w:left w:val="none" w:sz="0" w:space="0" w:color="auto"/>
        <w:bottom w:val="none" w:sz="0" w:space="0" w:color="auto"/>
        <w:right w:val="none" w:sz="0" w:space="0" w:color="auto"/>
      </w:divBdr>
    </w:div>
    <w:div w:id="1482889392">
      <w:bodyDiv w:val="1"/>
      <w:marLeft w:val="0"/>
      <w:marRight w:val="0"/>
      <w:marTop w:val="0"/>
      <w:marBottom w:val="0"/>
      <w:divBdr>
        <w:top w:val="none" w:sz="0" w:space="0" w:color="auto"/>
        <w:left w:val="none" w:sz="0" w:space="0" w:color="auto"/>
        <w:bottom w:val="none" w:sz="0" w:space="0" w:color="auto"/>
        <w:right w:val="none" w:sz="0" w:space="0" w:color="auto"/>
      </w:divBdr>
    </w:div>
    <w:div w:id="1580140344">
      <w:bodyDiv w:val="1"/>
      <w:marLeft w:val="0"/>
      <w:marRight w:val="0"/>
      <w:marTop w:val="0"/>
      <w:marBottom w:val="0"/>
      <w:divBdr>
        <w:top w:val="none" w:sz="0" w:space="0" w:color="auto"/>
        <w:left w:val="none" w:sz="0" w:space="0" w:color="auto"/>
        <w:bottom w:val="none" w:sz="0" w:space="0" w:color="auto"/>
        <w:right w:val="none" w:sz="0" w:space="0" w:color="auto"/>
      </w:divBdr>
    </w:div>
    <w:div w:id="1659577237">
      <w:bodyDiv w:val="1"/>
      <w:marLeft w:val="0"/>
      <w:marRight w:val="0"/>
      <w:marTop w:val="0"/>
      <w:marBottom w:val="0"/>
      <w:divBdr>
        <w:top w:val="none" w:sz="0" w:space="0" w:color="auto"/>
        <w:left w:val="none" w:sz="0" w:space="0" w:color="auto"/>
        <w:bottom w:val="none" w:sz="0" w:space="0" w:color="auto"/>
        <w:right w:val="none" w:sz="0" w:space="0" w:color="auto"/>
      </w:divBdr>
    </w:div>
    <w:div w:id="1709647031">
      <w:bodyDiv w:val="1"/>
      <w:marLeft w:val="0"/>
      <w:marRight w:val="0"/>
      <w:marTop w:val="0"/>
      <w:marBottom w:val="0"/>
      <w:divBdr>
        <w:top w:val="none" w:sz="0" w:space="0" w:color="auto"/>
        <w:left w:val="none" w:sz="0" w:space="0" w:color="auto"/>
        <w:bottom w:val="none" w:sz="0" w:space="0" w:color="auto"/>
        <w:right w:val="none" w:sz="0" w:space="0" w:color="auto"/>
      </w:divBdr>
    </w:div>
    <w:div w:id="1718971255">
      <w:bodyDiv w:val="1"/>
      <w:marLeft w:val="0"/>
      <w:marRight w:val="0"/>
      <w:marTop w:val="0"/>
      <w:marBottom w:val="0"/>
      <w:divBdr>
        <w:top w:val="none" w:sz="0" w:space="0" w:color="auto"/>
        <w:left w:val="none" w:sz="0" w:space="0" w:color="auto"/>
        <w:bottom w:val="none" w:sz="0" w:space="0" w:color="auto"/>
        <w:right w:val="none" w:sz="0" w:space="0" w:color="auto"/>
      </w:divBdr>
    </w:div>
    <w:div w:id="1856110763">
      <w:bodyDiv w:val="1"/>
      <w:marLeft w:val="0"/>
      <w:marRight w:val="0"/>
      <w:marTop w:val="0"/>
      <w:marBottom w:val="0"/>
      <w:divBdr>
        <w:top w:val="none" w:sz="0" w:space="0" w:color="auto"/>
        <w:left w:val="none" w:sz="0" w:space="0" w:color="auto"/>
        <w:bottom w:val="none" w:sz="0" w:space="0" w:color="auto"/>
        <w:right w:val="none" w:sz="0" w:space="0" w:color="auto"/>
      </w:divBdr>
    </w:div>
    <w:div w:id="1859733664">
      <w:bodyDiv w:val="1"/>
      <w:marLeft w:val="0"/>
      <w:marRight w:val="0"/>
      <w:marTop w:val="0"/>
      <w:marBottom w:val="0"/>
      <w:divBdr>
        <w:top w:val="none" w:sz="0" w:space="0" w:color="auto"/>
        <w:left w:val="none" w:sz="0" w:space="0" w:color="auto"/>
        <w:bottom w:val="none" w:sz="0" w:space="0" w:color="auto"/>
        <w:right w:val="none" w:sz="0" w:space="0" w:color="auto"/>
      </w:divBdr>
    </w:div>
    <w:div w:id="1886983548">
      <w:bodyDiv w:val="1"/>
      <w:marLeft w:val="0"/>
      <w:marRight w:val="0"/>
      <w:marTop w:val="0"/>
      <w:marBottom w:val="0"/>
      <w:divBdr>
        <w:top w:val="none" w:sz="0" w:space="0" w:color="auto"/>
        <w:left w:val="none" w:sz="0" w:space="0" w:color="auto"/>
        <w:bottom w:val="none" w:sz="0" w:space="0" w:color="auto"/>
        <w:right w:val="none" w:sz="0" w:space="0" w:color="auto"/>
      </w:divBdr>
    </w:div>
    <w:div w:id="1954630714">
      <w:bodyDiv w:val="1"/>
      <w:marLeft w:val="0"/>
      <w:marRight w:val="0"/>
      <w:marTop w:val="0"/>
      <w:marBottom w:val="0"/>
      <w:divBdr>
        <w:top w:val="none" w:sz="0" w:space="0" w:color="auto"/>
        <w:left w:val="none" w:sz="0" w:space="0" w:color="auto"/>
        <w:bottom w:val="none" w:sz="0" w:space="0" w:color="auto"/>
        <w:right w:val="none" w:sz="0" w:space="0" w:color="auto"/>
      </w:divBdr>
    </w:div>
    <w:div w:id="2070417674">
      <w:bodyDiv w:val="1"/>
      <w:marLeft w:val="0"/>
      <w:marRight w:val="0"/>
      <w:marTop w:val="0"/>
      <w:marBottom w:val="0"/>
      <w:divBdr>
        <w:top w:val="none" w:sz="0" w:space="0" w:color="auto"/>
        <w:left w:val="none" w:sz="0" w:space="0" w:color="auto"/>
        <w:bottom w:val="none" w:sz="0" w:space="0" w:color="auto"/>
        <w:right w:val="none" w:sz="0" w:space="0" w:color="auto"/>
      </w:divBdr>
    </w:div>
    <w:div w:id="2078898897">
      <w:bodyDiv w:val="1"/>
      <w:marLeft w:val="0"/>
      <w:marRight w:val="0"/>
      <w:marTop w:val="0"/>
      <w:marBottom w:val="0"/>
      <w:divBdr>
        <w:top w:val="none" w:sz="0" w:space="0" w:color="auto"/>
        <w:left w:val="none" w:sz="0" w:space="0" w:color="auto"/>
        <w:bottom w:val="none" w:sz="0" w:space="0" w:color="auto"/>
        <w:right w:val="none" w:sz="0" w:space="0" w:color="auto"/>
      </w:divBdr>
    </w:div>
    <w:div w:id="2107726647">
      <w:bodyDiv w:val="1"/>
      <w:marLeft w:val="0"/>
      <w:marRight w:val="0"/>
      <w:marTop w:val="0"/>
      <w:marBottom w:val="0"/>
      <w:divBdr>
        <w:top w:val="none" w:sz="0" w:space="0" w:color="auto"/>
        <w:left w:val="none" w:sz="0" w:space="0" w:color="auto"/>
        <w:bottom w:val="none" w:sz="0" w:space="0" w:color="auto"/>
        <w:right w:val="none" w:sz="0" w:space="0" w:color="auto"/>
      </w:divBdr>
    </w:div>
    <w:div w:id="2131364113">
      <w:bodyDiv w:val="1"/>
      <w:marLeft w:val="0"/>
      <w:marRight w:val="0"/>
      <w:marTop w:val="0"/>
      <w:marBottom w:val="0"/>
      <w:divBdr>
        <w:top w:val="none" w:sz="0" w:space="0" w:color="auto"/>
        <w:left w:val="none" w:sz="0" w:space="0" w:color="auto"/>
        <w:bottom w:val="none" w:sz="0" w:space="0" w:color="auto"/>
        <w:right w:val="none" w:sz="0" w:space="0" w:color="auto"/>
      </w:divBdr>
    </w:div>
    <w:div w:id="213466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2784</Words>
  <Characters>15873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Lennard Lee</dc:creator>
  <cp:keywords/>
  <dc:description/>
  <cp:lastModifiedBy>Lennard Lee</cp:lastModifiedBy>
  <cp:revision>13</cp:revision>
  <dcterms:created xsi:type="dcterms:W3CDTF">2021-01-11T08:42:00Z</dcterms:created>
  <dcterms:modified xsi:type="dcterms:W3CDTF">2021-01-13T11:38:00Z</dcterms:modified>
</cp:coreProperties>
</file>