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34"/>
          <w:szCs w:val="34"/>
        </w:rPr>
      </w:pPr>
      <w:r w:rsidDel="00000000" w:rsidR="00000000" w:rsidRPr="00000000">
        <w:rPr>
          <w:b w:val="1"/>
          <w:sz w:val="34"/>
          <w:szCs w:val="34"/>
          <w:rtl w:val="0"/>
        </w:rPr>
        <w:t xml:space="preserve">Supplementary information</w:t>
      </w:r>
      <w:r w:rsidDel="00000000" w:rsidR="00000000" w:rsidRPr="00000000">
        <w:rPr>
          <w:rtl w:val="0"/>
        </w:rPr>
      </w:r>
    </w:p>
    <w:p w:rsidR="00000000" w:rsidDel="00000000" w:rsidP="00000000" w:rsidRDefault="00000000" w:rsidRPr="00000000" w14:paraId="00000002">
      <w:pPr>
        <w:spacing w:line="480" w:lineRule="auto"/>
        <w:rPr>
          <w:b w:val="1"/>
        </w:rPr>
      </w:pPr>
      <w:r w:rsidDel="00000000" w:rsidR="00000000" w:rsidRPr="00000000">
        <w:rPr>
          <w:rtl w:val="0"/>
        </w:rPr>
      </w:r>
    </w:p>
    <w:p w:rsidR="00000000" w:rsidDel="00000000" w:rsidP="00000000" w:rsidRDefault="00000000" w:rsidRPr="00000000" w14:paraId="00000003">
      <w:pPr>
        <w:spacing w:line="480" w:lineRule="auto"/>
        <w:rPr>
          <w:b w:val="1"/>
        </w:rPr>
      </w:pPr>
      <w:r w:rsidDel="00000000" w:rsidR="00000000" w:rsidRPr="00000000">
        <w:rPr>
          <w:b w:val="1"/>
          <w:rtl w:val="0"/>
        </w:rPr>
        <w:t xml:space="preserve">PTSD symptoms related to COVID-19 as a high risk factor for suicide - Key to prevention</w:t>
      </w:r>
    </w:p>
    <w:p w:rsidR="00000000" w:rsidDel="00000000" w:rsidP="00000000" w:rsidRDefault="00000000" w:rsidRPr="00000000" w14:paraId="00000004">
      <w:pPr>
        <w:spacing w:line="480" w:lineRule="auto"/>
        <w:rPr>
          <w:b w:val="1"/>
        </w:rPr>
      </w:pP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rtl w:val="0"/>
        </w:rPr>
        <w:t xml:space="preserve">Toshinori Chiba</w:t>
      </w:r>
      <w:r w:rsidDel="00000000" w:rsidR="00000000" w:rsidRPr="00000000">
        <w:rPr>
          <w:vertAlign w:val="superscript"/>
          <w:rtl w:val="0"/>
        </w:rPr>
        <w:t xml:space="preserve">1,2,3</w:t>
      </w:r>
      <w:r w:rsidDel="00000000" w:rsidR="00000000" w:rsidRPr="00000000">
        <w:rPr>
          <w:rtl w:val="0"/>
        </w:rPr>
        <w:t xml:space="preserve">*</w:t>
      </w:r>
      <w:r w:rsidDel="00000000" w:rsidR="00000000" w:rsidRPr="00000000">
        <w:rPr>
          <w:shd w:fill="fdfdfc" w:val="clear"/>
          <w:vertAlign w:val="superscript"/>
          <w:rtl w:val="0"/>
        </w:rPr>
        <w:t xml:space="preserve">†</w:t>
      </w:r>
      <w:r w:rsidDel="00000000" w:rsidR="00000000" w:rsidRPr="00000000">
        <w:rPr>
          <w:rtl w:val="0"/>
        </w:rPr>
        <w:t xml:space="preserve">, Taiki Oka</w:t>
      </w:r>
      <w:r w:rsidDel="00000000" w:rsidR="00000000" w:rsidRPr="00000000">
        <w:rPr>
          <w:vertAlign w:val="superscript"/>
          <w:rtl w:val="0"/>
        </w:rPr>
        <w:t xml:space="preserve">1</w:t>
      </w:r>
      <w:r w:rsidDel="00000000" w:rsidR="00000000" w:rsidRPr="00000000">
        <w:rPr>
          <w:rtl w:val="0"/>
        </w:rPr>
        <w:t xml:space="preserve">*, Toshitaka Hamamura</w:t>
      </w:r>
      <w:r w:rsidDel="00000000" w:rsidR="00000000" w:rsidRPr="00000000">
        <w:rPr>
          <w:vertAlign w:val="superscript"/>
          <w:rtl w:val="0"/>
        </w:rPr>
        <w:t xml:space="preserve">4</w:t>
      </w:r>
      <w:r w:rsidDel="00000000" w:rsidR="00000000" w:rsidRPr="00000000">
        <w:rPr>
          <w:rtl w:val="0"/>
        </w:rPr>
        <w:t xml:space="preserve">*, Nao Kobayashi</w:t>
      </w:r>
      <w:r w:rsidDel="00000000" w:rsidR="00000000" w:rsidRPr="00000000">
        <w:rPr>
          <w:vertAlign w:val="superscript"/>
          <w:rtl w:val="0"/>
        </w:rPr>
        <w:t xml:space="preserve">5</w:t>
      </w:r>
      <w:r w:rsidDel="00000000" w:rsidR="00000000" w:rsidRPr="00000000">
        <w:rPr>
          <w:rtl w:val="0"/>
        </w:rPr>
        <w:t xml:space="preserve">, Masaru Honjo</w:t>
      </w:r>
      <w:r w:rsidDel="00000000" w:rsidR="00000000" w:rsidRPr="00000000">
        <w:rPr>
          <w:vertAlign w:val="superscript"/>
          <w:rtl w:val="0"/>
        </w:rPr>
        <w:t xml:space="preserve">4</w:t>
      </w:r>
      <w:r w:rsidDel="00000000" w:rsidR="00000000" w:rsidRPr="00000000">
        <w:rPr>
          <w:rtl w:val="0"/>
        </w:rPr>
        <w:t xml:space="preserve">, Yuka Miyake</w:t>
      </w:r>
      <w:r w:rsidDel="00000000" w:rsidR="00000000" w:rsidRPr="00000000">
        <w:rPr>
          <w:vertAlign w:val="superscript"/>
          <w:rtl w:val="0"/>
        </w:rPr>
        <w:t xml:space="preserve">5</w:t>
      </w:r>
      <w:r w:rsidDel="00000000" w:rsidR="00000000" w:rsidRPr="00000000">
        <w:rPr>
          <w:rtl w:val="0"/>
        </w:rPr>
        <w:t xml:space="preserve">, Takatomi Kubo</w:t>
      </w:r>
      <w:r w:rsidDel="00000000" w:rsidR="00000000" w:rsidRPr="00000000">
        <w:rPr>
          <w:vertAlign w:val="superscript"/>
          <w:rtl w:val="0"/>
        </w:rPr>
        <w:t xml:space="preserve">6</w:t>
      </w:r>
      <w:r w:rsidDel="00000000" w:rsidR="00000000" w:rsidRPr="00000000">
        <w:rPr>
          <w:rtl w:val="0"/>
        </w:rPr>
        <w:t xml:space="preserve"> Hiroyuki Toda</w:t>
      </w:r>
      <w:r w:rsidDel="00000000" w:rsidR="00000000" w:rsidRPr="00000000">
        <w:rPr>
          <w:vertAlign w:val="superscript"/>
          <w:rtl w:val="0"/>
        </w:rPr>
        <w:t xml:space="preserve">7</w:t>
      </w:r>
      <w:r w:rsidDel="00000000" w:rsidR="00000000" w:rsidRPr="00000000">
        <w:rPr>
          <w:rtl w:val="0"/>
        </w:rPr>
        <w:t xml:space="preserve">, Tetsufumi Kanazawa</w:t>
      </w:r>
      <w:r w:rsidDel="00000000" w:rsidR="00000000" w:rsidRPr="00000000">
        <w:rPr>
          <w:vertAlign w:val="superscript"/>
          <w:rtl w:val="0"/>
        </w:rPr>
        <w:t xml:space="preserve">8</w:t>
      </w:r>
      <w:r w:rsidDel="00000000" w:rsidR="00000000" w:rsidRPr="00000000">
        <w:rPr>
          <w:rtl w:val="0"/>
        </w:rPr>
        <w:t xml:space="preserve">, Shuken Boku</w:t>
      </w:r>
      <w:r w:rsidDel="00000000" w:rsidR="00000000" w:rsidRPr="00000000">
        <w:rPr>
          <w:vertAlign w:val="superscript"/>
          <w:rtl w:val="0"/>
        </w:rPr>
        <w:t xml:space="preserve">9</w:t>
      </w:r>
      <w:r w:rsidDel="00000000" w:rsidR="00000000" w:rsidRPr="00000000">
        <w:rPr>
          <w:rtl w:val="0"/>
        </w:rPr>
        <w:t xml:space="preserve">, Akitoyo Hishimoto</w:t>
      </w:r>
      <w:r w:rsidDel="00000000" w:rsidR="00000000" w:rsidRPr="00000000">
        <w:rPr>
          <w:vertAlign w:val="superscript"/>
          <w:rtl w:val="0"/>
        </w:rPr>
        <w:t xml:space="preserve">10</w:t>
      </w:r>
      <w:r w:rsidDel="00000000" w:rsidR="00000000" w:rsidRPr="00000000">
        <w:rPr>
          <w:rtl w:val="0"/>
        </w:rPr>
        <w:t xml:space="preserve">, Mitsuo Kawato</w:t>
      </w:r>
      <w:r w:rsidDel="00000000" w:rsidR="00000000" w:rsidRPr="00000000">
        <w:rPr>
          <w:vertAlign w:val="superscript"/>
          <w:rtl w:val="0"/>
        </w:rPr>
        <w:t xml:space="preserve">1</w:t>
      </w:r>
      <w:r w:rsidDel="00000000" w:rsidR="00000000" w:rsidRPr="00000000">
        <w:rPr>
          <w:rtl w:val="0"/>
        </w:rPr>
        <w:t xml:space="preserve">, Aurelio Cortese</w:t>
      </w:r>
      <w:r w:rsidDel="00000000" w:rsidR="00000000" w:rsidRPr="00000000">
        <w:rPr>
          <w:vertAlign w:val="superscript"/>
          <w:rtl w:val="0"/>
        </w:rPr>
        <w:t xml:space="preserve">1</w:t>
      </w:r>
      <w:r w:rsidDel="00000000" w:rsidR="00000000" w:rsidRPr="00000000">
        <w:rPr>
          <w:shd w:fill="fdfdfc" w:val="clear"/>
          <w:vertAlign w:val="superscript"/>
          <w:rtl w:val="0"/>
        </w:rPr>
        <w:t xml:space="preserve">†</w:t>
      </w:r>
      <w:r w:rsidDel="00000000" w:rsidR="00000000" w:rsidRPr="00000000">
        <w:rPr>
          <w:rtl w:val="0"/>
        </w:rPr>
      </w:r>
    </w:p>
    <w:p w:rsidR="00000000" w:rsidDel="00000000" w:rsidP="00000000" w:rsidRDefault="00000000" w:rsidRPr="00000000" w14:paraId="00000006">
      <w:pPr>
        <w:spacing w:line="480" w:lineRule="auto"/>
        <w:rPr/>
      </w:pPr>
      <w:r w:rsidDel="00000000" w:rsidR="00000000" w:rsidRPr="00000000">
        <w:rPr>
          <w:rtl w:val="0"/>
        </w:rPr>
      </w:r>
    </w:p>
    <w:p w:rsidR="00000000" w:rsidDel="00000000" w:rsidP="00000000" w:rsidRDefault="00000000" w:rsidRPr="00000000" w14:paraId="00000007">
      <w:pPr>
        <w:spacing w:after="120" w:line="360" w:lineRule="auto"/>
        <w:ind w:left="284" w:hanging="284"/>
        <w:rPr/>
      </w:pPr>
      <w:r w:rsidDel="00000000" w:rsidR="00000000" w:rsidRPr="00000000">
        <w:rPr>
          <w:vertAlign w:val="superscript"/>
          <w:rtl w:val="0"/>
        </w:rPr>
        <w:t xml:space="preserve">1</w:t>
        <w:tab/>
      </w:r>
      <w:r w:rsidDel="00000000" w:rsidR="00000000" w:rsidRPr="00000000">
        <w:rPr>
          <w:rtl w:val="0"/>
        </w:rPr>
        <w:t xml:space="preserve">The Department of Decoded Neurofeedback, Computational Neuroscience Laboratories, Advanced Telecommunications Research Institute International, Kyoto, Japan</w:t>
      </w:r>
    </w:p>
    <w:p w:rsidR="00000000" w:rsidDel="00000000" w:rsidP="00000000" w:rsidRDefault="00000000" w:rsidRPr="00000000" w14:paraId="00000008">
      <w:pPr>
        <w:spacing w:after="120" w:line="360" w:lineRule="auto"/>
        <w:ind w:left="284" w:hanging="284"/>
        <w:rPr/>
      </w:pPr>
      <w:r w:rsidDel="00000000" w:rsidR="00000000" w:rsidRPr="00000000">
        <w:rPr>
          <w:vertAlign w:val="superscript"/>
          <w:rtl w:val="0"/>
        </w:rPr>
        <w:t xml:space="preserve">2</w:t>
        <w:tab/>
      </w:r>
      <w:r w:rsidDel="00000000" w:rsidR="00000000" w:rsidRPr="00000000">
        <w:rPr>
          <w:rtl w:val="0"/>
        </w:rPr>
        <w:t xml:space="preserve">The Department of Psychiatry, Kobe University Graduate School of Medicine, Kobe, Japan</w:t>
      </w:r>
    </w:p>
    <w:p w:rsidR="00000000" w:rsidDel="00000000" w:rsidP="00000000" w:rsidRDefault="00000000" w:rsidRPr="00000000" w14:paraId="00000009">
      <w:pPr>
        <w:spacing w:after="120" w:line="360" w:lineRule="auto"/>
        <w:ind w:left="284" w:hanging="284"/>
        <w:rPr/>
      </w:pPr>
      <w:r w:rsidDel="00000000" w:rsidR="00000000" w:rsidRPr="00000000">
        <w:rPr>
          <w:vertAlign w:val="superscript"/>
          <w:rtl w:val="0"/>
        </w:rPr>
        <w:t xml:space="preserve">3</w:t>
        <w:tab/>
      </w:r>
      <w:r w:rsidDel="00000000" w:rsidR="00000000" w:rsidRPr="00000000">
        <w:rPr>
          <w:rtl w:val="0"/>
        </w:rPr>
        <w:t xml:space="preserve">The Department of Psychiatry, Self-Defense Forces Hanshin Hospital, Kawanishi, Japan</w:t>
      </w:r>
    </w:p>
    <w:p w:rsidR="00000000" w:rsidDel="00000000" w:rsidP="00000000" w:rsidRDefault="00000000" w:rsidRPr="00000000" w14:paraId="0000000A">
      <w:pPr>
        <w:spacing w:after="120" w:line="360" w:lineRule="auto"/>
        <w:ind w:left="284" w:hanging="284"/>
        <w:rPr/>
      </w:pPr>
      <w:r w:rsidDel="00000000" w:rsidR="00000000" w:rsidRPr="00000000">
        <w:rPr>
          <w:vertAlign w:val="superscript"/>
          <w:rtl w:val="0"/>
        </w:rPr>
        <w:t xml:space="preserve">4</w:t>
        <w:tab/>
      </w:r>
      <w:r w:rsidDel="00000000" w:rsidR="00000000" w:rsidRPr="00000000">
        <w:rPr>
          <w:rtl w:val="0"/>
        </w:rPr>
        <w:t xml:space="preserve">Health-improving Behavior Change Laboratory, Innovation Center, KDDI Research, Inc., Fujimino, Japan</w:t>
      </w:r>
    </w:p>
    <w:p w:rsidR="00000000" w:rsidDel="00000000" w:rsidP="00000000" w:rsidRDefault="00000000" w:rsidRPr="00000000" w14:paraId="0000000B">
      <w:pPr>
        <w:spacing w:after="120" w:line="360" w:lineRule="auto"/>
        <w:ind w:left="284" w:hanging="284"/>
        <w:rPr/>
      </w:pPr>
      <w:r w:rsidDel="00000000" w:rsidR="00000000" w:rsidRPr="00000000">
        <w:rPr>
          <w:vertAlign w:val="superscript"/>
          <w:rtl w:val="0"/>
        </w:rPr>
        <w:t xml:space="preserve">5</w:t>
        <w:tab/>
      </w:r>
      <w:r w:rsidDel="00000000" w:rsidR="00000000" w:rsidRPr="00000000">
        <w:rPr>
          <w:rtl w:val="0"/>
        </w:rPr>
        <w:t xml:space="preserve">Technology Strategy Department, Technology Planning Division, KDDI CORPORATION, Tokyo, Japan</w:t>
      </w:r>
    </w:p>
    <w:p w:rsidR="00000000" w:rsidDel="00000000" w:rsidP="00000000" w:rsidRDefault="00000000" w:rsidRPr="00000000" w14:paraId="0000000C">
      <w:pPr>
        <w:spacing w:after="120" w:line="360" w:lineRule="auto"/>
        <w:ind w:left="284" w:hanging="284"/>
        <w:rPr/>
      </w:pPr>
      <w:r w:rsidDel="00000000" w:rsidR="00000000" w:rsidRPr="00000000">
        <w:rPr>
          <w:vertAlign w:val="superscript"/>
          <w:rtl w:val="0"/>
        </w:rPr>
        <w:t xml:space="preserve">6</w:t>
        <w:tab/>
      </w:r>
      <w:r w:rsidDel="00000000" w:rsidR="00000000" w:rsidRPr="00000000">
        <w:rPr>
          <w:rtl w:val="0"/>
        </w:rPr>
        <w:t xml:space="preserve">The Department of Brain robot interface, Computational Neuroscience Laboratories, Advanced Telecommunications Research Institute International, Kyoto, Japan</w:t>
      </w:r>
    </w:p>
    <w:p w:rsidR="00000000" w:rsidDel="00000000" w:rsidP="00000000" w:rsidRDefault="00000000" w:rsidRPr="00000000" w14:paraId="0000000D">
      <w:pPr>
        <w:spacing w:after="120" w:line="360" w:lineRule="auto"/>
        <w:ind w:left="284" w:hanging="284"/>
        <w:rPr/>
      </w:pPr>
      <w:r w:rsidDel="00000000" w:rsidR="00000000" w:rsidRPr="00000000">
        <w:rPr>
          <w:vertAlign w:val="superscript"/>
          <w:rtl w:val="0"/>
        </w:rPr>
        <w:t xml:space="preserve">7</w:t>
        <w:tab/>
      </w:r>
      <w:r w:rsidDel="00000000" w:rsidR="00000000" w:rsidRPr="00000000">
        <w:rPr>
          <w:rtl w:val="0"/>
        </w:rPr>
        <w:t xml:space="preserve">The Department of Psychiatry, National Defense Medical College, Tokorozawa, Japan</w:t>
      </w:r>
    </w:p>
    <w:p w:rsidR="00000000" w:rsidDel="00000000" w:rsidP="00000000" w:rsidRDefault="00000000" w:rsidRPr="00000000" w14:paraId="0000000E">
      <w:pPr>
        <w:spacing w:after="120" w:line="360" w:lineRule="auto"/>
        <w:ind w:left="284" w:hanging="284"/>
        <w:rPr/>
      </w:pPr>
      <w:r w:rsidDel="00000000" w:rsidR="00000000" w:rsidRPr="00000000">
        <w:rPr>
          <w:vertAlign w:val="superscript"/>
          <w:rtl w:val="0"/>
        </w:rPr>
        <w:t xml:space="preserve">8</w:t>
        <w:tab/>
      </w:r>
      <w:r w:rsidDel="00000000" w:rsidR="00000000" w:rsidRPr="00000000">
        <w:rPr>
          <w:rtl w:val="0"/>
        </w:rPr>
        <w:t xml:space="preserve">The Department of Neuropsychiatry, Osaka Medical College, Osaka, Japan</w:t>
      </w:r>
    </w:p>
    <w:p w:rsidR="00000000" w:rsidDel="00000000" w:rsidP="00000000" w:rsidRDefault="00000000" w:rsidRPr="00000000" w14:paraId="0000000F">
      <w:pPr>
        <w:spacing w:after="120" w:line="360" w:lineRule="auto"/>
        <w:ind w:left="284" w:hanging="284"/>
        <w:rPr/>
      </w:pPr>
      <w:r w:rsidDel="00000000" w:rsidR="00000000" w:rsidRPr="00000000">
        <w:rPr>
          <w:vertAlign w:val="superscript"/>
          <w:rtl w:val="0"/>
        </w:rPr>
        <w:t xml:space="preserve">9</w:t>
        <w:tab/>
      </w:r>
      <w:r w:rsidDel="00000000" w:rsidR="00000000" w:rsidRPr="00000000">
        <w:rPr>
          <w:rtl w:val="0"/>
        </w:rPr>
        <w:t xml:space="preserve">Department of Neuropsychiatry, Kumamoto University Faculty of Life Sciences, Kumamoto, Japan</w:t>
      </w:r>
    </w:p>
    <w:p w:rsidR="00000000" w:rsidDel="00000000" w:rsidP="00000000" w:rsidRDefault="00000000" w:rsidRPr="00000000" w14:paraId="00000010">
      <w:pPr>
        <w:spacing w:line="480" w:lineRule="auto"/>
        <w:rPr/>
      </w:pPr>
      <w:r w:rsidDel="00000000" w:rsidR="00000000" w:rsidRPr="00000000">
        <w:rPr>
          <w:vertAlign w:val="superscript"/>
          <w:rtl w:val="0"/>
        </w:rPr>
        <w:t xml:space="preserve">10</w:t>
        <w:tab/>
      </w:r>
      <w:r w:rsidDel="00000000" w:rsidR="00000000" w:rsidRPr="00000000">
        <w:rPr>
          <w:rtl w:val="0"/>
        </w:rPr>
        <w:t xml:space="preserve">Department of Psychiatry, Graduate School of Medicine, Yokohama City University, Yokohama, Japan</w:t>
      </w:r>
    </w:p>
    <w:p w:rsidR="00000000" w:rsidDel="00000000" w:rsidP="00000000" w:rsidRDefault="00000000" w:rsidRPr="00000000" w14:paraId="00000011">
      <w:pPr>
        <w:spacing w:line="480" w:lineRule="auto"/>
        <w:rPr/>
      </w:pPr>
      <w:r w:rsidDel="00000000" w:rsidR="00000000" w:rsidRPr="00000000">
        <w:rPr>
          <w:rtl w:val="0"/>
        </w:rPr>
        <w:t xml:space="preserve">*These authors contributed equally as first authors.</w:t>
      </w:r>
    </w:p>
    <w:p w:rsidR="00000000" w:rsidDel="00000000" w:rsidP="00000000" w:rsidRDefault="00000000" w:rsidRPr="00000000" w14:paraId="00000012">
      <w:pPr>
        <w:spacing w:line="480" w:lineRule="auto"/>
        <w:rPr/>
      </w:pPr>
      <w:r w:rsidDel="00000000" w:rsidR="00000000" w:rsidRPr="00000000">
        <w:rPr>
          <w:shd w:fill="fdfdfc" w:val="clear"/>
          <w:vertAlign w:val="superscript"/>
          <w:rtl w:val="0"/>
        </w:rPr>
        <w:t xml:space="preserve">†</w:t>
      </w:r>
      <w:r w:rsidDel="00000000" w:rsidR="00000000" w:rsidRPr="00000000">
        <w:rPr>
          <w:rtl w:val="0"/>
        </w:rPr>
        <w:t xml:space="preserve">Send correspondence to Dr. Toshinori Chiba </w:t>
      </w:r>
      <w:hyperlink r:id="rId7">
        <w:r w:rsidDel="00000000" w:rsidR="00000000" w:rsidRPr="00000000">
          <w:rPr>
            <w:u w:val="single"/>
            <w:rtl w:val="0"/>
          </w:rPr>
          <w:t xml:space="preserve">t.chiba0906@gmail.com</w:t>
        </w:r>
      </w:hyperlink>
      <w:r w:rsidDel="00000000" w:rsidR="00000000" w:rsidRPr="00000000">
        <w:rPr>
          <w:rtl w:val="0"/>
        </w:rPr>
        <w:t xml:space="preserve"> and Dr. Aurelio Cortese </w:t>
      </w:r>
    </w:p>
    <w:p w:rsidR="00000000" w:rsidDel="00000000" w:rsidP="00000000" w:rsidRDefault="00000000" w:rsidRPr="00000000" w14:paraId="00000013">
      <w:pPr>
        <w:spacing w:line="480" w:lineRule="auto"/>
        <w:rPr/>
      </w:pPr>
      <w:r w:rsidDel="00000000" w:rsidR="00000000" w:rsidRPr="00000000">
        <w:rPr>
          <w:rtl w:val="0"/>
        </w:rPr>
        <w:t xml:space="preserve">cortese.aurelio@gmail.com</w:t>
      </w:r>
    </w:p>
    <w:p w:rsidR="00000000" w:rsidDel="00000000" w:rsidP="00000000" w:rsidRDefault="00000000" w:rsidRPr="00000000" w14:paraId="00000014">
      <w:pPr>
        <w:spacing w:line="480" w:lineRule="auto"/>
        <w:rPr/>
      </w:pPr>
      <w:r w:rsidDel="00000000" w:rsidR="00000000" w:rsidRPr="00000000">
        <w:rPr>
          <w:rtl w:val="0"/>
        </w:rPr>
        <w:t xml:space="preserve">Advanced Telecommunications Research Institute International, 2-2-2 Hikaridai Seika-cho, Soraku-gun, Kyoto 619-0288 JAPAN</w:t>
      </w:r>
    </w:p>
    <w:p w:rsidR="00000000" w:rsidDel="00000000" w:rsidP="00000000" w:rsidRDefault="00000000" w:rsidRPr="00000000" w14:paraId="00000015">
      <w:pPr>
        <w:spacing w:line="480" w:lineRule="auto"/>
        <w:rPr/>
      </w:pPr>
      <w:r w:rsidDel="00000000" w:rsidR="00000000" w:rsidRPr="00000000">
        <w:rPr>
          <w:rtl w:val="0"/>
        </w:rPr>
        <w:t xml:space="preserve">TEL: +81-774-95-1111</w:t>
      </w:r>
    </w:p>
    <w:p w:rsidR="00000000" w:rsidDel="00000000" w:rsidP="00000000" w:rsidRDefault="00000000" w:rsidRPr="00000000" w14:paraId="00000016">
      <w:pPr>
        <w:spacing w:line="480" w:lineRule="auto"/>
        <w:rPr/>
      </w:pPr>
      <w:r w:rsidDel="00000000" w:rsidR="00000000" w:rsidRPr="00000000">
        <w:rPr>
          <w:rtl w:val="0"/>
        </w:rPr>
        <w:t xml:space="preserve">FAX: +81-774-95-1236</w:t>
      </w:r>
    </w:p>
    <w:p w:rsidR="00000000" w:rsidDel="00000000" w:rsidP="00000000" w:rsidRDefault="00000000" w:rsidRPr="00000000" w14:paraId="00000017">
      <w:pPr>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480" w:lineRule="auto"/>
        <w:rPr/>
      </w:pPr>
      <w:bookmarkStart w:colFirst="0" w:colLast="0" w:name="_heading=h.30j0zll" w:id="0"/>
      <w:bookmarkEnd w:id="0"/>
      <w:r w:rsidDel="00000000" w:rsidR="00000000" w:rsidRPr="00000000">
        <w:rPr>
          <w:b w:val="1"/>
          <w:rtl w:val="0"/>
        </w:rPr>
        <w:t xml:space="preserve">Supplementary Table 1.</w:t>
      </w:r>
      <w:r w:rsidDel="00000000" w:rsidR="00000000" w:rsidRPr="00000000">
        <w:rPr>
          <w:rtl w:val="0"/>
        </w:rPr>
        <w:t xml:space="preserve"> Causes of suicide in August 2019 and August 2020</w:t>
      </w:r>
    </w:p>
    <w:p w:rsidR="00000000" w:rsidDel="00000000" w:rsidP="00000000" w:rsidRDefault="00000000" w:rsidRPr="00000000" w14:paraId="00000019">
      <w:pPr>
        <w:spacing w:line="480" w:lineRule="auto"/>
        <w:rPr/>
      </w:pPr>
      <w:r w:rsidDel="00000000" w:rsidR="00000000" w:rsidRPr="00000000">
        <w:rPr>
          <w:rFonts w:ascii="Cambria" w:cs="Cambria" w:eastAsia="Cambria" w:hAnsi="Cambria"/>
        </w:rPr>
        <w:drawing>
          <wp:inline distB="0" distT="0" distL="0" distR="0">
            <wp:extent cx="5731200" cy="1778000"/>
            <wp:effectExtent b="0" l="0" r="0" t="0"/>
            <wp:docPr descr="https://lh5.googleusercontent.com/PO1NUkKlawFWnhwqnqNHekCKJiz9iYwnXRkLwR0txJ18KnayWD247aY1tUZIagPWO-24MYo2tgw1Dq0rotMS9sjOuj6T7qQkUzMexi439j1HBxBRvx60z2ozm9wfoaeGJwkh0d4" id="14" name="image1.png"/>
            <a:graphic>
              <a:graphicData uri="http://schemas.openxmlformats.org/drawingml/2006/picture">
                <pic:pic>
                  <pic:nvPicPr>
                    <pic:cNvPr descr="https://lh5.googleusercontent.com/PO1NUkKlawFWnhwqnqNHekCKJiz9iYwnXRkLwR0txJ18KnayWD247aY1tUZIagPWO-24MYo2tgw1Dq0rotMS9sjOuj6T7qQkUzMexi439j1HBxBRvx60z2ozm9wfoaeGJwkh0d4" id="0" name="image1.png"/>
                    <pic:cNvPicPr preferRelativeResize="0"/>
                  </pic:nvPicPr>
                  <pic:blipFill>
                    <a:blip r:embed="rId8"/>
                    <a:srcRect b="0" l="0" r="0" t="0"/>
                    <a:stretch>
                      <a:fillRect/>
                    </a:stretch>
                  </pic:blipFill>
                  <pic:spPr>
                    <a:xfrm>
                      <a:off x="0" y="0"/>
                      <a:ext cx="57312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480" w:lineRule="auto"/>
        <w:rPr/>
      </w:pPr>
      <w:r w:rsidDel="00000000" w:rsidR="00000000" w:rsidRPr="00000000">
        <w:rPr>
          <w:rtl w:val="0"/>
        </w:rPr>
        <w:t xml:space="preserve">Percentages do not sum to 100 because up to three choices are allowed for each cause.</w:t>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line="480" w:lineRule="auto"/>
        <w:rPr/>
      </w:pPr>
      <w:r w:rsidDel="00000000" w:rsidR="00000000" w:rsidRPr="00000000">
        <w:rPr/>
        <w:drawing>
          <wp:inline distB="114300" distT="114300" distL="114300" distR="114300">
            <wp:extent cx="5943600" cy="4635500"/>
            <wp:effectExtent b="0" l="0" r="0" t="0"/>
            <wp:docPr id="1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46355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b w:val="1"/>
          <w:rtl w:val="0"/>
        </w:rPr>
        <w:t xml:space="preserve">Supplementary Figure 1. </w:t>
      </w:r>
      <w:r w:rsidDel="00000000" w:rsidR="00000000" w:rsidRPr="00000000">
        <w:rPr>
          <w:rtl w:val="0"/>
        </w:rPr>
        <w:t xml:space="preserve">Cumulative COVID-19 infections per 1 000 000 persons in Japan and Queensland (Australia). Infection rates in G20 countries are shown as gray lines for purposes of comparison. </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480" w:lineRule="auto"/>
        <w:rPr/>
      </w:pPr>
      <w:r w:rsidDel="00000000" w:rsidR="00000000" w:rsidRPr="00000000">
        <w:rPr>
          <w:rtl w:val="0"/>
        </w:rPr>
        <w:t xml:space="preserve">Data Source:</w:t>
      </w:r>
    </w:p>
    <w:p w:rsidR="00000000" w:rsidDel="00000000" w:rsidP="00000000" w:rsidRDefault="00000000" w:rsidRPr="00000000" w14:paraId="00000020">
      <w:pPr>
        <w:spacing w:line="480" w:lineRule="auto"/>
        <w:rPr/>
      </w:pPr>
      <w:r w:rsidDel="00000000" w:rsidR="00000000" w:rsidRPr="00000000">
        <w:rPr>
          <w:rtl w:val="0"/>
        </w:rPr>
        <w:t xml:space="preserve">Queensland government, access date: December 2nd (</w:t>
      </w:r>
      <w:r w:rsidDel="00000000" w:rsidR="00000000" w:rsidRPr="00000000">
        <w:rPr>
          <w:color w:val="0612ff"/>
          <w:rtl w:val="0"/>
        </w:rPr>
        <w:t xml:space="preserve">https://www.qld.gov.au/health/conditions/health-alerts/coronavirus-covid-19/current-status/statistics</w:t>
      </w:r>
      <w:r w:rsidDel="00000000" w:rsidR="00000000" w:rsidRPr="00000000">
        <w:rPr>
          <w:rtl w:val="0"/>
        </w:rPr>
        <w:t xml:space="preserve">)</w:t>
      </w:r>
    </w:p>
    <w:p w:rsidR="00000000" w:rsidDel="00000000" w:rsidP="00000000" w:rsidRDefault="00000000" w:rsidRPr="00000000" w14:paraId="00000021">
      <w:pPr>
        <w:spacing w:line="480" w:lineRule="auto"/>
        <w:rPr/>
      </w:pPr>
      <w:r w:rsidDel="00000000" w:rsidR="00000000" w:rsidRPr="00000000">
        <w:rPr>
          <w:rtl w:val="0"/>
        </w:rPr>
        <w:t xml:space="preserve">Department of Medical Genome Sciences, Research Institute for Frontier Medicine,</w:t>
      </w:r>
    </w:p>
    <w:p w:rsidR="00000000" w:rsidDel="00000000" w:rsidP="00000000" w:rsidRDefault="00000000" w:rsidRPr="00000000" w14:paraId="00000022">
      <w:pPr>
        <w:rPr/>
      </w:pPr>
      <w:r w:rsidDel="00000000" w:rsidR="00000000" w:rsidRPr="00000000">
        <w:rPr>
          <w:rtl w:val="0"/>
        </w:rPr>
        <w:t xml:space="preserve">Sapporo Medical University School of Medicine</w:t>
      </w:r>
      <w:hyperlink r:id="rId10">
        <w:r w:rsidDel="00000000" w:rsidR="00000000" w:rsidRPr="00000000">
          <w:rPr>
            <w:color w:val="000000"/>
            <w:vertAlign w:val="superscript"/>
            <w:rtl w:val="0"/>
          </w:rPr>
          <w:t xml:space="preserve">13</w:t>
        </w:r>
      </w:hyperlink>
      <w:r w:rsidDel="00000000" w:rsidR="00000000" w:rsidRPr="00000000">
        <w:rPr>
          <w:rtl w:val="0"/>
        </w:rPr>
        <w:t xml:space="preserve">, access date: December 2nd (</w:t>
      </w:r>
      <w:hyperlink r:id="rId11">
        <w:r w:rsidDel="00000000" w:rsidR="00000000" w:rsidRPr="00000000">
          <w:rPr>
            <w:color w:val="0612ff"/>
            <w:u w:val="single"/>
            <w:rtl w:val="0"/>
          </w:rPr>
          <w:t xml:space="preserve">https://web.sapmed.ac.jp/canmol/coronavirus/index.html?d=1</w:t>
        </w:r>
      </w:hyperlink>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3">
      <w:pPr>
        <w:spacing w:line="480" w:lineRule="auto"/>
        <w:rPr>
          <w:b w:val="1"/>
        </w:rPr>
      </w:pPr>
      <w:r w:rsidDel="00000000" w:rsidR="00000000" w:rsidRPr="00000000">
        <w:rPr>
          <w:b w:val="1"/>
          <w:rtl w:val="0"/>
        </w:rPr>
        <w:t xml:space="preserve">Supplementary Texts</w:t>
      </w:r>
    </w:p>
    <w:p w:rsidR="00000000" w:rsidDel="00000000" w:rsidP="00000000" w:rsidRDefault="00000000" w:rsidRPr="00000000" w14:paraId="00000024">
      <w:pPr>
        <w:spacing w:line="480" w:lineRule="auto"/>
        <w:rPr>
          <w:b w:val="1"/>
        </w:rPr>
      </w:pPr>
      <w:r w:rsidDel="00000000" w:rsidR="00000000" w:rsidRPr="00000000">
        <w:rPr>
          <w:b w:val="1"/>
          <w:rtl w:val="0"/>
        </w:rPr>
        <w:t xml:space="preserve">Effects of pre-COVID-19 psychiatric states on stress response during the pandemic.</w:t>
      </w:r>
    </w:p>
    <w:p w:rsidR="00000000" w:rsidDel="00000000" w:rsidP="00000000" w:rsidRDefault="00000000" w:rsidRPr="00000000" w14:paraId="00000025">
      <w:pPr>
        <w:spacing w:line="480" w:lineRule="auto"/>
        <w:ind w:firstLine="720"/>
        <w:rPr/>
      </w:pPr>
      <w:r w:rsidDel="00000000" w:rsidR="00000000" w:rsidRPr="00000000">
        <w:rPr>
          <w:rtl w:val="0"/>
        </w:rPr>
        <w:t xml:space="preserve">We examined whether depression and anxiety scores reflect stress vulnerability. Specifically, we tested whether “current” psychiatric status can predict “future” PTSD symptoms or a “future” increase in suicide rate using mixed-effect models. Here, psychiatric states include depression and anxiety scores taken before, instead of during, COVID-19. As in the main mixed-effect analyses, psychiatric status was considered a fixed effect, while sex was treated as a random effect. With this model, we first predicted PTSD scores during COVID-19. This revealed that both “current (before COVID-19)” depression and anxiety scores correlated positively with “future (during COVID-19)” PTSD scores (depression: </w:t>
      </w:r>
      <w:r w:rsidDel="00000000" w:rsidR="00000000" w:rsidRPr="00000000">
        <w:rPr>
          <w:i w:val="1"/>
          <w:rtl w:val="0"/>
        </w:rPr>
        <w:t xml:space="preserve">β</w:t>
      </w:r>
      <w:r w:rsidDel="00000000" w:rsidR="00000000" w:rsidRPr="00000000">
        <w:rPr>
          <w:rtl w:val="0"/>
        </w:rPr>
        <w:t xml:space="preserve"> = 0</w:t>
      </w:r>
      <w:r w:rsidDel="00000000" w:rsidR="00000000" w:rsidRPr="00000000">
        <w:rPr>
          <w:highlight w:val="white"/>
          <w:rtl w:val="0"/>
        </w:rPr>
        <w:t xml:space="preserve">·</w:t>
      </w:r>
      <w:r w:rsidDel="00000000" w:rsidR="00000000" w:rsidRPr="00000000">
        <w:rPr>
          <w:rtl w:val="0"/>
        </w:rPr>
        <w:t xml:space="preserve">76, t</w:t>
      </w:r>
      <w:r w:rsidDel="00000000" w:rsidR="00000000" w:rsidRPr="00000000">
        <w:rPr>
          <w:vertAlign w:val="subscript"/>
          <w:rtl w:val="0"/>
        </w:rPr>
        <w:t xml:space="preserve">3936</w:t>
      </w:r>
      <w:r w:rsidDel="00000000" w:rsidR="00000000" w:rsidRPr="00000000">
        <w:rPr>
          <w:rtl w:val="0"/>
        </w:rPr>
        <w:t xml:space="preserve"> = 33</w:t>
      </w:r>
      <w:r w:rsidDel="00000000" w:rsidR="00000000" w:rsidRPr="00000000">
        <w:rPr>
          <w:highlight w:val="white"/>
          <w:rtl w:val="0"/>
        </w:rPr>
        <w:t xml:space="preserve">·</w:t>
      </w:r>
      <w:r w:rsidDel="00000000" w:rsidR="00000000" w:rsidRPr="00000000">
        <w:rPr>
          <w:rtl w:val="0"/>
        </w:rPr>
        <w:t xml:space="preserve">6, </w:t>
      </w:r>
      <w:r w:rsidDel="00000000" w:rsidR="00000000" w:rsidRPr="00000000">
        <w:rPr>
          <w:i w:val="1"/>
          <w:rtl w:val="0"/>
        </w:rPr>
        <w:t xml:space="preserve">p</w:t>
      </w:r>
      <w:r w:rsidDel="00000000" w:rsidR="00000000" w:rsidRPr="00000000">
        <w:rPr>
          <w:rtl w:val="0"/>
        </w:rPr>
        <w:t xml:space="preserve"> = 1</w:t>
      </w:r>
      <w:r w:rsidDel="00000000" w:rsidR="00000000" w:rsidRPr="00000000">
        <w:rPr>
          <w:highlight w:val="white"/>
          <w:rtl w:val="0"/>
        </w:rPr>
        <w:t xml:space="preserve">·</w:t>
      </w:r>
      <w:r w:rsidDel="00000000" w:rsidR="00000000" w:rsidRPr="00000000">
        <w:rPr>
          <w:rtl w:val="0"/>
        </w:rPr>
        <w:t xml:space="preserve">8 x 10</w:t>
      </w:r>
      <w:r w:rsidDel="00000000" w:rsidR="00000000" w:rsidRPr="00000000">
        <w:rPr>
          <w:vertAlign w:val="superscript"/>
          <w:rtl w:val="0"/>
        </w:rPr>
        <w:t xml:space="preserve">-217</w:t>
      </w:r>
      <w:r w:rsidDel="00000000" w:rsidR="00000000" w:rsidRPr="00000000">
        <w:rPr>
          <w:rtl w:val="0"/>
        </w:rPr>
        <w:t xml:space="preserve">, anxiety: </w:t>
      </w:r>
      <w:r w:rsidDel="00000000" w:rsidR="00000000" w:rsidRPr="00000000">
        <w:rPr>
          <w:i w:val="1"/>
          <w:rtl w:val="0"/>
        </w:rPr>
        <w:t xml:space="preserve">β</w:t>
      </w:r>
      <w:r w:rsidDel="00000000" w:rsidR="00000000" w:rsidRPr="00000000">
        <w:rPr>
          <w:rtl w:val="0"/>
        </w:rPr>
        <w:t xml:space="preserve"> = 0</w:t>
      </w:r>
      <w:r w:rsidDel="00000000" w:rsidR="00000000" w:rsidRPr="00000000">
        <w:rPr>
          <w:highlight w:val="white"/>
          <w:rtl w:val="0"/>
        </w:rPr>
        <w:t xml:space="preserve">·</w:t>
      </w:r>
      <w:r w:rsidDel="00000000" w:rsidR="00000000" w:rsidRPr="00000000">
        <w:rPr>
          <w:rtl w:val="0"/>
        </w:rPr>
        <w:t xml:space="preserve">60, t</w:t>
      </w:r>
      <w:r w:rsidDel="00000000" w:rsidR="00000000" w:rsidRPr="00000000">
        <w:rPr>
          <w:vertAlign w:val="subscript"/>
          <w:rtl w:val="0"/>
        </w:rPr>
        <w:t xml:space="preserve">3936</w:t>
      </w:r>
      <w:r w:rsidDel="00000000" w:rsidR="00000000" w:rsidRPr="00000000">
        <w:rPr>
          <w:rtl w:val="0"/>
        </w:rPr>
        <w:t xml:space="preserve"> = 26</w:t>
      </w:r>
      <w:r w:rsidDel="00000000" w:rsidR="00000000" w:rsidRPr="00000000">
        <w:rPr>
          <w:highlight w:val="white"/>
          <w:rtl w:val="0"/>
        </w:rPr>
        <w:t xml:space="preserve">·</w:t>
      </w:r>
      <w:r w:rsidDel="00000000" w:rsidR="00000000" w:rsidRPr="00000000">
        <w:rPr>
          <w:rtl w:val="0"/>
        </w:rPr>
        <w:t xml:space="preserve">3, </w:t>
      </w:r>
      <w:r w:rsidDel="00000000" w:rsidR="00000000" w:rsidRPr="00000000">
        <w:rPr>
          <w:i w:val="1"/>
          <w:rtl w:val="0"/>
        </w:rPr>
        <w:t xml:space="preserve">p</w:t>
      </w:r>
      <w:r w:rsidDel="00000000" w:rsidR="00000000" w:rsidRPr="00000000">
        <w:rPr>
          <w:rtl w:val="0"/>
        </w:rPr>
        <w:t xml:space="preserve"> = 1</w:t>
      </w:r>
      <w:r w:rsidDel="00000000" w:rsidR="00000000" w:rsidRPr="00000000">
        <w:rPr>
          <w:highlight w:val="white"/>
          <w:rtl w:val="0"/>
        </w:rPr>
        <w:t xml:space="preserve">·</w:t>
      </w:r>
      <w:r w:rsidDel="00000000" w:rsidR="00000000" w:rsidRPr="00000000">
        <w:rPr>
          <w:rtl w:val="0"/>
        </w:rPr>
        <w:t xml:space="preserve">4 x10</w:t>
      </w:r>
      <w:r w:rsidDel="00000000" w:rsidR="00000000" w:rsidRPr="00000000">
        <w:rPr>
          <w:vertAlign w:val="superscript"/>
          <w:rtl w:val="0"/>
        </w:rPr>
        <w:t xml:space="preserve">-140</w:t>
      </w:r>
      <w:r w:rsidDel="00000000" w:rsidR="00000000" w:rsidRPr="00000000">
        <w:rPr>
          <w:rtl w:val="0"/>
        </w:rPr>
        <w:t xml:space="preserve">). Second, we predicted a suicide increase in response to COVID-19 with this model. To allow for a direct comparison with results of main analyses, we compared BICs of these models with that of the “main” model, which predicts a suicide increase based on PTSD scores during COVID-19. As a result, models based on depression, but not on anxiety scores, have smaller BICs in comparison with the main model (Supplementary Figure 2). The model based on depression has a smaller BIC in comparison with that based on anxiety scores. Both “current” depression and anxiety scores were positively correlated with a “future” suicide increase (depression: </w:t>
      </w:r>
      <w:r w:rsidDel="00000000" w:rsidR="00000000" w:rsidRPr="00000000">
        <w:rPr>
          <w:i w:val="1"/>
          <w:rtl w:val="0"/>
        </w:rPr>
        <w:t xml:space="preserve">β</w:t>
      </w:r>
      <w:r w:rsidDel="00000000" w:rsidR="00000000" w:rsidRPr="00000000">
        <w:rPr>
          <w:rtl w:val="0"/>
        </w:rPr>
        <w:t xml:space="preserve"> = 0</w:t>
      </w:r>
      <w:r w:rsidDel="00000000" w:rsidR="00000000" w:rsidRPr="00000000">
        <w:rPr>
          <w:highlight w:val="white"/>
          <w:rtl w:val="0"/>
        </w:rPr>
        <w:t xml:space="preserve">·</w:t>
      </w:r>
      <w:r w:rsidDel="00000000" w:rsidR="00000000" w:rsidRPr="00000000">
        <w:rPr>
          <w:rtl w:val="0"/>
        </w:rPr>
        <w:t xml:space="preserve">001, t</w:t>
      </w:r>
      <w:r w:rsidDel="00000000" w:rsidR="00000000" w:rsidRPr="00000000">
        <w:rPr>
          <w:vertAlign w:val="subscript"/>
          <w:rtl w:val="0"/>
        </w:rPr>
        <w:t xml:space="preserve">3936</w:t>
      </w:r>
      <w:r w:rsidDel="00000000" w:rsidR="00000000" w:rsidRPr="00000000">
        <w:rPr>
          <w:rtl w:val="0"/>
        </w:rPr>
        <w:t xml:space="preserve"> = 6</w:t>
      </w:r>
      <w:r w:rsidDel="00000000" w:rsidR="00000000" w:rsidRPr="00000000">
        <w:rPr>
          <w:highlight w:val="white"/>
          <w:rtl w:val="0"/>
        </w:rPr>
        <w:t xml:space="preserve">·</w:t>
      </w:r>
      <w:r w:rsidDel="00000000" w:rsidR="00000000" w:rsidRPr="00000000">
        <w:rPr>
          <w:rtl w:val="0"/>
        </w:rPr>
        <w:t xml:space="preserve">6, </w:t>
      </w:r>
      <w:r w:rsidDel="00000000" w:rsidR="00000000" w:rsidRPr="00000000">
        <w:rPr>
          <w:i w:val="1"/>
          <w:rtl w:val="0"/>
        </w:rPr>
        <w:t xml:space="preserve">p</w:t>
      </w:r>
      <w:r w:rsidDel="00000000" w:rsidR="00000000" w:rsidRPr="00000000">
        <w:rPr>
          <w:rtl w:val="0"/>
        </w:rPr>
        <w:t xml:space="preserve"> = 4</w:t>
      </w:r>
      <w:r w:rsidDel="00000000" w:rsidR="00000000" w:rsidRPr="00000000">
        <w:rPr>
          <w:highlight w:val="white"/>
          <w:rtl w:val="0"/>
        </w:rPr>
        <w:t xml:space="preserve">·</w:t>
      </w:r>
      <w:r w:rsidDel="00000000" w:rsidR="00000000" w:rsidRPr="00000000">
        <w:rPr>
          <w:rtl w:val="0"/>
        </w:rPr>
        <w:t xml:space="preserve">5×10</w:t>
      </w:r>
      <w:r w:rsidDel="00000000" w:rsidR="00000000" w:rsidRPr="00000000">
        <w:rPr>
          <w:vertAlign w:val="superscript"/>
          <w:rtl w:val="0"/>
        </w:rPr>
        <w:t xml:space="preserve">-11</w:t>
      </w:r>
      <w:r w:rsidDel="00000000" w:rsidR="00000000" w:rsidRPr="00000000">
        <w:rPr>
          <w:rtl w:val="0"/>
        </w:rPr>
        <w:t xml:space="preserve">, anxiety: </w:t>
      </w:r>
      <w:r w:rsidDel="00000000" w:rsidR="00000000" w:rsidRPr="00000000">
        <w:rPr>
          <w:i w:val="1"/>
          <w:rtl w:val="0"/>
        </w:rPr>
        <w:t xml:space="preserve">β</w:t>
      </w:r>
      <w:r w:rsidDel="00000000" w:rsidR="00000000" w:rsidRPr="00000000">
        <w:rPr>
          <w:rtl w:val="0"/>
        </w:rPr>
        <w:t xml:space="preserve"> = 0</w:t>
      </w:r>
      <w:r w:rsidDel="00000000" w:rsidR="00000000" w:rsidRPr="00000000">
        <w:rPr>
          <w:highlight w:val="white"/>
          <w:rtl w:val="0"/>
        </w:rPr>
        <w:t xml:space="preserve">·</w:t>
      </w:r>
      <w:r w:rsidDel="00000000" w:rsidR="00000000" w:rsidRPr="00000000">
        <w:rPr>
          <w:rtl w:val="0"/>
        </w:rPr>
        <w:t xml:space="preserve">001, t</w:t>
      </w:r>
      <w:r w:rsidDel="00000000" w:rsidR="00000000" w:rsidRPr="00000000">
        <w:rPr>
          <w:vertAlign w:val="subscript"/>
          <w:rtl w:val="0"/>
        </w:rPr>
        <w:t xml:space="preserve">3936</w:t>
      </w:r>
      <w:r w:rsidDel="00000000" w:rsidR="00000000" w:rsidRPr="00000000">
        <w:rPr>
          <w:rtl w:val="0"/>
        </w:rPr>
        <w:t xml:space="preserve"> = 6</w:t>
      </w:r>
      <w:r w:rsidDel="00000000" w:rsidR="00000000" w:rsidRPr="00000000">
        <w:rPr>
          <w:highlight w:val="white"/>
          <w:rtl w:val="0"/>
        </w:rPr>
        <w:t xml:space="preserve">·</w:t>
      </w:r>
      <w:r w:rsidDel="00000000" w:rsidR="00000000" w:rsidRPr="00000000">
        <w:rPr>
          <w:rtl w:val="0"/>
        </w:rPr>
        <w:t xml:space="preserve">0, </w:t>
      </w:r>
      <w:r w:rsidDel="00000000" w:rsidR="00000000" w:rsidRPr="00000000">
        <w:rPr>
          <w:i w:val="1"/>
          <w:rtl w:val="0"/>
        </w:rPr>
        <w:t xml:space="preserve">p</w:t>
      </w:r>
      <w:r w:rsidDel="00000000" w:rsidR="00000000" w:rsidRPr="00000000">
        <w:rPr>
          <w:rtl w:val="0"/>
        </w:rPr>
        <w:t xml:space="preserve"> = 2</w:t>
      </w:r>
      <w:r w:rsidDel="00000000" w:rsidR="00000000" w:rsidRPr="00000000">
        <w:rPr>
          <w:highlight w:val="white"/>
          <w:rtl w:val="0"/>
        </w:rPr>
        <w:t xml:space="preserve">·</w:t>
      </w:r>
      <w:r w:rsidDel="00000000" w:rsidR="00000000" w:rsidRPr="00000000">
        <w:rPr>
          <w:rtl w:val="0"/>
        </w:rPr>
        <w:t xml:space="preserve">8 ×10</w:t>
      </w:r>
      <w:r w:rsidDel="00000000" w:rsidR="00000000" w:rsidRPr="00000000">
        <w:rPr>
          <w:vertAlign w:val="superscript"/>
          <w:rtl w:val="0"/>
        </w:rPr>
        <w:t xml:space="preserve">-9</w:t>
      </w:r>
      <w:r w:rsidDel="00000000" w:rsidR="00000000" w:rsidRPr="00000000">
        <w:rPr>
          <w:rtl w:val="0"/>
        </w:rPr>
        <w:t xml:space="preserve">). These correlations indicate that both depression and anxiety scores are reliable indicators of stress vulnerability, either as measured by future PTSD symptoms or as a suicide increase in response to the COVID-19 pandemic.</w:t>
      </w:r>
    </w:p>
    <w:p w:rsidR="00000000" w:rsidDel="00000000" w:rsidP="00000000" w:rsidRDefault="00000000" w:rsidRPr="00000000" w14:paraId="00000026">
      <w:pPr>
        <w:spacing w:line="480" w:lineRule="auto"/>
        <w:rPr/>
      </w:pPr>
      <w:r w:rsidDel="00000000" w:rsidR="00000000" w:rsidRPr="00000000">
        <w:rPr>
          <w:rtl w:val="0"/>
        </w:rPr>
      </w:r>
    </w:p>
    <w:p w:rsidR="00000000" w:rsidDel="00000000" w:rsidP="00000000" w:rsidRDefault="00000000" w:rsidRPr="00000000" w14:paraId="00000027">
      <w:pPr>
        <w:spacing w:line="480" w:lineRule="auto"/>
        <w:rPr/>
      </w:pPr>
      <w:r w:rsidDel="00000000" w:rsidR="00000000" w:rsidRPr="00000000">
        <w:rPr>
          <w:b w:val="1"/>
          <w:rtl w:val="0"/>
        </w:rPr>
        <w:t xml:space="preserve">Changes in psychiatric states in response to the pandemic, as predictors of the suicide increase during COVID-19. </w:t>
      </w:r>
      <w:r w:rsidDel="00000000" w:rsidR="00000000" w:rsidRPr="00000000">
        <w:rPr>
          <w:rtl w:val="0"/>
        </w:rPr>
        <w:t xml:space="preserve"> </w:t>
      </w:r>
    </w:p>
    <w:p w:rsidR="00000000" w:rsidDel="00000000" w:rsidP="00000000" w:rsidRDefault="00000000" w:rsidRPr="00000000" w14:paraId="00000028">
      <w:pPr>
        <w:spacing w:line="480" w:lineRule="auto"/>
        <w:ind w:firstLine="720"/>
        <w:rPr/>
      </w:pPr>
      <w:r w:rsidDel="00000000" w:rsidR="00000000" w:rsidRPr="00000000">
        <w:rPr>
          <w:rtl w:val="0"/>
        </w:rPr>
        <w:t xml:space="preserve">It seemed reasonable that changes in depression or anxiety scores, unlike their current scores, might predict the current suicide increase better than PTSD scores. To examine this possibility, we tested whether changes in depression or anxiety scores from before to during COVID-19 predicted the increase in suicide rate, using mixed-effect models. As in the main mixed-effect analyses, psychiatric status was considered a fixed effect, while sex was treated as a random effect. To allow for direct comparison with results of main analyses, we compared BICs of these models with that of the “main” model, based on PTSD scores during COVID-19. As a result, the main model based on PTSD scores had the smallest BIC (Supplementary Figure 2). This indicates that PTSD score is a more reliable predictor of current suicide risk than changes in depression or anxiety scores.</w:t>
      </w:r>
    </w:p>
    <w:p w:rsidR="00000000" w:rsidDel="00000000" w:rsidP="00000000" w:rsidRDefault="00000000" w:rsidRPr="00000000" w14:paraId="00000029">
      <w:pPr>
        <w:spacing w:line="480" w:lineRule="auto"/>
        <w:rPr/>
      </w:pPr>
      <w:r w:rsidDel="00000000" w:rsidR="00000000" w:rsidRPr="00000000">
        <w:rPr>
          <w:rtl w:val="0"/>
        </w:rPr>
      </w:r>
    </w:p>
    <w:p w:rsidR="00000000" w:rsidDel="00000000" w:rsidP="00000000" w:rsidRDefault="00000000" w:rsidRPr="00000000" w14:paraId="0000002A">
      <w:pPr>
        <w:spacing w:line="480" w:lineRule="auto"/>
        <w:rPr>
          <w:b w:val="1"/>
        </w:rPr>
      </w:pPr>
      <w:r w:rsidDel="00000000" w:rsidR="00000000" w:rsidRPr="00000000">
        <w:rPr>
          <w:b w:val="1"/>
          <w:rtl w:val="0"/>
        </w:rPr>
        <w:t xml:space="preserve">Simulation of the increase in suicide rate by depression or anxiety in our study population.</w:t>
      </w:r>
    </w:p>
    <w:p w:rsidR="00000000" w:rsidDel="00000000" w:rsidP="00000000" w:rsidRDefault="00000000" w:rsidRPr="00000000" w14:paraId="0000002B">
      <w:pPr>
        <w:spacing w:line="480" w:lineRule="auto"/>
        <w:ind w:firstLine="720"/>
        <w:rPr/>
      </w:pPr>
      <w:r w:rsidDel="00000000" w:rsidR="00000000" w:rsidRPr="00000000">
        <w:rPr>
          <w:rtl w:val="0"/>
        </w:rPr>
        <w:t xml:space="preserve">To further examine the robustness of PTSD scores as a predictor of suicide, we examined whether this linear regression model based on PTSD scores is superior to those based on depression or anxiety scores, as observed in the mixed-effect model. Specifically, we simulated the suicide rate increase based on depression or anxiety scores, instead of PTSD scores, together with their known risk ratios (depression: 12</w:t>
      </w:r>
      <w:r w:rsidDel="00000000" w:rsidR="00000000" w:rsidRPr="00000000">
        <w:rPr>
          <w:highlight w:val="white"/>
          <w:rtl w:val="0"/>
        </w:rPr>
        <w:t xml:space="preserve">·</w:t>
      </w:r>
      <w:r w:rsidDel="00000000" w:rsidR="00000000" w:rsidRPr="00000000">
        <w:rPr>
          <w:rtl w:val="0"/>
        </w:rPr>
        <w:t xml:space="preserve">6 for males and 15</w:t>
      </w:r>
      <w:r w:rsidDel="00000000" w:rsidR="00000000" w:rsidRPr="00000000">
        <w:rPr>
          <w:highlight w:val="white"/>
          <w:rtl w:val="0"/>
        </w:rPr>
        <w:t xml:space="preserve">·</w:t>
      </w:r>
      <w:r w:rsidDel="00000000" w:rsidR="00000000" w:rsidRPr="00000000">
        <w:rPr>
          <w:rtl w:val="0"/>
        </w:rPr>
        <w:t xml:space="preserve">7 for females, anxiety: 6</w:t>
      </w:r>
      <w:r w:rsidDel="00000000" w:rsidR="00000000" w:rsidRPr="00000000">
        <w:rPr>
          <w:highlight w:val="white"/>
          <w:rtl w:val="0"/>
        </w:rPr>
        <w:t xml:space="preserve">·</w:t>
      </w:r>
      <w:r w:rsidDel="00000000" w:rsidR="00000000" w:rsidRPr="00000000">
        <w:rPr>
          <w:rtl w:val="0"/>
        </w:rPr>
        <w:t xml:space="preserve">7 for males and 4</w:t>
      </w:r>
      <w:r w:rsidDel="00000000" w:rsidR="00000000" w:rsidRPr="00000000">
        <w:rPr>
          <w:highlight w:val="white"/>
          <w:rtl w:val="0"/>
        </w:rPr>
        <w:t xml:space="preserve">·</w:t>
      </w:r>
      <w:r w:rsidDel="00000000" w:rsidR="00000000" w:rsidRPr="00000000">
        <w:rPr>
          <w:rtl w:val="0"/>
        </w:rPr>
        <w:t xml:space="preserve">9 for females)</w:t>
      </w:r>
      <w:r w:rsidDel="00000000" w:rsidR="00000000" w:rsidRPr="00000000">
        <w:rPr>
          <w:vertAlign w:val="superscript"/>
          <w:rtl w:val="0"/>
        </w:rPr>
        <w:t xml:space="preserve">2</w:t>
      </w:r>
      <w:hyperlink r:id="rId12">
        <w:r w:rsidDel="00000000" w:rsidR="00000000" w:rsidRPr="00000000">
          <w:rPr>
            <w:vertAlign w:val="superscript"/>
            <w:rtl w:val="0"/>
          </w:rPr>
          <w:t xml:space="preserve">–4</w:t>
        </w:r>
      </w:hyperlink>
      <w:r w:rsidDel="00000000" w:rsidR="00000000" w:rsidRPr="00000000">
        <w:rPr>
          <w:rtl w:val="0"/>
        </w:rPr>
        <w:t xml:space="preserve"> (Supplementary Figure 3). Then we compared how well these different measures predicted the impact of COVID-19 using BICs. The model based on PTSD scores had the smallest BIC (46</w:t>
      </w:r>
      <w:r w:rsidDel="00000000" w:rsidR="00000000" w:rsidRPr="00000000">
        <w:rPr>
          <w:highlight w:val="white"/>
          <w:rtl w:val="0"/>
        </w:rPr>
        <w:t xml:space="preserve">·</w:t>
      </w:r>
      <w:r w:rsidDel="00000000" w:rsidR="00000000" w:rsidRPr="00000000">
        <w:rPr>
          <w:rtl w:val="0"/>
        </w:rPr>
        <w:t xml:space="preserve">1), compared with those for depression (BIC = 51</w:t>
      </w:r>
      <w:r w:rsidDel="00000000" w:rsidR="00000000" w:rsidRPr="00000000">
        <w:rPr>
          <w:highlight w:val="white"/>
          <w:rtl w:val="0"/>
        </w:rPr>
        <w:t xml:space="preserve">·</w:t>
      </w:r>
      <w:r w:rsidDel="00000000" w:rsidR="00000000" w:rsidRPr="00000000">
        <w:rPr>
          <w:rtl w:val="0"/>
        </w:rPr>
        <w:t xml:space="preserve">8) or anxiety scores (BIC = 53</w:t>
      </w:r>
      <w:r w:rsidDel="00000000" w:rsidR="00000000" w:rsidRPr="00000000">
        <w:rPr>
          <w:highlight w:val="white"/>
          <w:rtl w:val="0"/>
        </w:rPr>
        <w:t xml:space="preserve">·</w:t>
      </w:r>
      <w:r w:rsidDel="00000000" w:rsidR="00000000" w:rsidRPr="00000000">
        <w:rPr>
          <w:rtl w:val="0"/>
        </w:rPr>
        <w:t xml:space="preserve">5). Consistent with the result from the model comparison of main mixed-effects model, this indicates that PTSD score is a better predictor of the increase in suicide risk than depression or anxiety. </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480" w:lineRule="auto"/>
        <w:rPr/>
      </w:pPr>
      <w:r w:rsidDel="00000000" w:rsidR="00000000" w:rsidRPr="00000000">
        <w:rPr>
          <w:rFonts w:ascii="Cambria" w:cs="Cambria" w:eastAsia="Cambria" w:hAnsi="Cambria"/>
        </w:rPr>
        <w:drawing>
          <wp:inline distB="0" distT="0" distL="0" distR="0">
            <wp:extent cx="5731200" cy="4584700"/>
            <wp:effectExtent b="0" l="0" r="0" t="0"/>
            <wp:docPr descr="https://lh3.googleusercontent.com/6FUZdAGGEHdh-Swj3v7xg1hLjlXVMwVe2K-oafk16KWB-h3B63JVPLDS-uR4WhkSruObsFcqEYgcj77QWXvGJ9Fs3Q0_rszeN_lTV4B9yUOwfC0s7EGPri2i01Z4dXQp-kMJOMc" id="15" name="image2.png"/>
            <a:graphic>
              <a:graphicData uri="http://schemas.openxmlformats.org/drawingml/2006/picture">
                <pic:pic>
                  <pic:nvPicPr>
                    <pic:cNvPr descr="https://lh3.googleusercontent.com/6FUZdAGGEHdh-Swj3v7xg1hLjlXVMwVe2K-oafk16KWB-h3B63JVPLDS-uR4WhkSruObsFcqEYgcj77QWXvGJ9Fs3Q0_rszeN_lTV4B9yUOwfC0s7EGPri2i01Z4dXQp-kMJOMc" id="0" name="image2.png"/>
                    <pic:cNvPicPr preferRelativeResize="0"/>
                  </pic:nvPicPr>
                  <pic:blipFill>
                    <a:blip r:embed="rId13"/>
                    <a:srcRect b="0" l="0" r="0" t="0"/>
                    <a:stretch>
                      <a:fillRect/>
                    </a:stretch>
                  </pic:blipFill>
                  <pic:spPr>
                    <a:xfrm>
                      <a:off x="0" y="0"/>
                      <a:ext cx="5731200" cy="45847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480" w:lineRule="auto"/>
        <w:rPr/>
      </w:pPr>
      <w:r w:rsidDel="00000000" w:rsidR="00000000" w:rsidRPr="00000000">
        <w:rPr>
          <w:b w:val="1"/>
          <w:rtl w:val="0"/>
        </w:rPr>
        <w:t xml:space="preserve">Supplementary Figure 2. </w:t>
      </w:r>
      <w:r w:rsidDel="00000000" w:rsidR="00000000" w:rsidRPr="00000000">
        <w:rPr>
          <w:rtl w:val="0"/>
        </w:rPr>
        <w:t xml:space="preserve">Comparison of models testing associations between psychiatric states and suicide increases using psychiatric states from before COVID-19. A black bar represents the “main” model based on PTSD symptoms during COVID-19. Gray bars represent models based on depression or anxiety scores before the pandemic. White bars represent models based on changes in depression or anxiety during COVID-19. A model with a bar above the dotted line is a poorer model in comparison with the main model, while a bar below that line is better.</w:t>
      </w:r>
    </w:p>
    <w:p w:rsidR="00000000" w:rsidDel="00000000" w:rsidP="00000000" w:rsidRDefault="00000000" w:rsidRPr="00000000" w14:paraId="0000002F">
      <w:pPr>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line="480" w:lineRule="auto"/>
        <w:rPr/>
      </w:pPr>
      <w:r w:rsidDel="00000000" w:rsidR="00000000" w:rsidRPr="00000000">
        <w:rPr/>
        <w:drawing>
          <wp:inline distB="114300" distT="114300" distL="114300" distR="114300">
            <wp:extent cx="3990975" cy="6858000"/>
            <wp:effectExtent b="0" l="0" r="0" t="0"/>
            <wp:docPr id="1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990975" cy="68580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480" w:lineRule="auto"/>
        <w:rPr/>
      </w:pPr>
      <w:r w:rsidDel="00000000" w:rsidR="00000000" w:rsidRPr="00000000">
        <w:rPr>
          <w:b w:val="1"/>
          <w:rtl w:val="0"/>
        </w:rPr>
        <w:t xml:space="preserve">Supplementary Figure 3. </w:t>
      </w:r>
      <w:r w:rsidDel="00000000" w:rsidR="00000000" w:rsidRPr="00000000">
        <w:rPr>
          <w:rtl w:val="0"/>
        </w:rPr>
        <w:t xml:space="preserve">Association between real suicide rate increase and simulated suicide rate increase by using (a) depression and (b) anxiety probability. Error bars represent bootstrapped 95% confidence intervals.</w:t>
      </w:r>
    </w:p>
    <w:p w:rsidR="00000000" w:rsidDel="00000000" w:rsidP="00000000" w:rsidRDefault="00000000" w:rsidRPr="00000000" w14:paraId="00000032">
      <w:pPr>
        <w:spacing w:line="480" w:lineRule="auto"/>
        <w:rPr/>
      </w:pPr>
      <w:r w:rsidDel="00000000" w:rsidR="00000000" w:rsidRPr="00000000">
        <w:rPr>
          <w:rtl w:val="0"/>
        </w:rPr>
      </w:r>
    </w:p>
    <w:p w:rsidR="00000000" w:rsidDel="00000000" w:rsidP="00000000" w:rsidRDefault="00000000" w:rsidRPr="00000000" w14:paraId="00000033">
      <w:pPr>
        <w:spacing w:line="480" w:lineRule="auto"/>
        <w:rPr/>
      </w:pPr>
      <w:r w:rsidDel="00000000" w:rsidR="00000000" w:rsidRPr="00000000">
        <w:rPr>
          <w:b w:val="1"/>
          <w:rtl w:val="0"/>
        </w:rPr>
        <w:t xml:space="preserve">Supplementary Data</w:t>
      </w:r>
      <w:r w:rsidDel="00000000" w:rsidR="00000000" w:rsidRPr="00000000">
        <w:rPr>
          <w:rtl w:val="0"/>
        </w:rPr>
      </w:r>
    </w:p>
    <w:p w:rsidR="00000000" w:rsidDel="00000000" w:rsidP="00000000" w:rsidRDefault="00000000" w:rsidRPr="00000000" w14:paraId="00000034">
      <w:pPr>
        <w:spacing w:line="480" w:lineRule="auto"/>
        <w:rPr/>
      </w:pPr>
      <w:r w:rsidDel="00000000" w:rsidR="00000000" w:rsidRPr="00000000">
        <w:rPr>
          <w:b w:val="1"/>
        </w:rPr>
        <w:drawing>
          <wp:inline distB="0" distT="0" distL="0" distR="0">
            <wp:extent cx="5734050" cy="2619375"/>
            <wp:effectExtent b="0" l="0" r="0" t="0"/>
            <wp:docPr id="17"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734050"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480" w:lineRule="auto"/>
        <w:rPr/>
      </w:pPr>
      <w:r w:rsidDel="00000000" w:rsidR="00000000" w:rsidRPr="00000000">
        <w:rPr>
          <w:rtl w:val="0"/>
        </w:rPr>
        <w:t xml:space="preserve">Sample sizes are true (unweighted).</w:t>
      </w:r>
    </w:p>
    <w:p w:rsidR="00000000" w:rsidDel="00000000" w:rsidP="00000000" w:rsidRDefault="00000000" w:rsidRPr="00000000" w14:paraId="00000036">
      <w:pPr>
        <w:spacing w:line="480" w:lineRule="auto"/>
        <w:rPr/>
      </w:pPr>
      <w:r w:rsidDel="00000000" w:rsidR="00000000" w:rsidRPr="00000000">
        <w:rPr>
          <w:rtl w:val="0"/>
        </w:rPr>
        <w:t xml:space="preserve">IES-R: Impact of Event Scale-Revised, CES-D: Center for Epidemiologic Studies Depression Scale, STAI-S: State Anxiety Inventory.</w:t>
      </w:r>
    </w:p>
    <w:p w:rsidR="00000000" w:rsidDel="00000000" w:rsidP="00000000" w:rsidRDefault="00000000" w:rsidRPr="00000000" w14:paraId="00000037">
      <w:pPr>
        <w:spacing w:line="480" w:lineRule="auto"/>
        <w:rPr/>
      </w:pPr>
      <w:r w:rsidDel="00000000" w:rsidR="00000000" w:rsidRPr="00000000">
        <w:rPr>
          <w:rtl w:val="0"/>
        </w:rPr>
        <w:t xml:space="preserve">Confidence intervals are calculated by using bootstrapped 95%.</w:t>
      </w:r>
    </w:p>
    <w:p w:rsidR="00000000" w:rsidDel="00000000" w:rsidP="00000000" w:rsidRDefault="00000000" w:rsidRPr="00000000" w14:paraId="00000038">
      <w:pPr>
        <w:spacing w:line="480" w:lineRule="auto"/>
        <w:rPr/>
      </w:pPr>
      <w:r w:rsidDel="00000000" w:rsidR="00000000" w:rsidRPr="00000000">
        <w:rPr>
          <w:rtl w:val="0"/>
        </w:rPr>
      </w:r>
    </w:p>
    <w:p w:rsidR="00000000" w:rsidDel="00000000" w:rsidP="00000000" w:rsidRDefault="00000000" w:rsidRPr="00000000" w14:paraId="00000039">
      <w:pPr>
        <w:spacing w:line="480" w:lineRule="auto"/>
        <w:rPr/>
      </w:pPr>
      <w:r w:rsidDel="00000000" w:rsidR="00000000" w:rsidRPr="00000000">
        <w:rPr>
          <w:b w:val="1"/>
          <w:rtl w:val="0"/>
        </w:rPr>
        <w:t xml:space="preserve">Supplementary Reference</w:t>
      </w:r>
      <w:r w:rsidDel="00000000" w:rsidR="00000000" w:rsidRPr="00000000">
        <w:rPr>
          <w:rtl w:val="0"/>
        </w:rPr>
      </w:r>
    </w:p>
    <w:p w:rsidR="00000000" w:rsidDel="00000000" w:rsidP="00000000" w:rsidRDefault="00000000" w:rsidRPr="00000000" w14:paraId="0000003A">
      <w:pPr>
        <w:widowControl w:val="0"/>
        <w:spacing w:after="220" w:line="240" w:lineRule="auto"/>
        <w:ind w:left="440"/>
        <w:rPr/>
      </w:pPr>
      <w:r w:rsidDel="00000000" w:rsidR="00000000" w:rsidRPr="00000000">
        <w:rPr>
          <w:rtl w:val="0"/>
        </w:rPr>
        <w:t xml:space="preserve">1</w:t>
        <w:tab/>
      </w:r>
      <w:hyperlink r:id="rId16">
        <w:r w:rsidDel="00000000" w:rsidR="00000000" w:rsidRPr="00000000">
          <w:rPr>
            <w:rtl w:val="0"/>
          </w:rPr>
          <w:t xml:space="preserve">Idogawa M, Tange S, Nakase H, Tokino T. Interactive web-based graphs of novel coronavirus COVID-19 cases and deaths per population by country. </w:t>
        </w:r>
      </w:hyperlink>
      <w:hyperlink r:id="rId17">
        <w:r w:rsidDel="00000000" w:rsidR="00000000" w:rsidRPr="00000000">
          <w:rPr>
            <w:i w:val="1"/>
            <w:rtl w:val="0"/>
          </w:rPr>
          <w:t xml:space="preserve">Clin Infect Dis</w:t>
        </w:r>
      </w:hyperlink>
      <w:hyperlink r:id="rId18">
        <w:r w:rsidDel="00000000" w:rsidR="00000000" w:rsidRPr="00000000">
          <w:rPr>
            <w:rtl w:val="0"/>
          </w:rPr>
          <w:t xml:space="preserve"> 2020. </w:t>
        </w:r>
      </w:hyperlink>
      <w:hyperlink r:id="rId19">
        <w:r w:rsidDel="00000000" w:rsidR="00000000" w:rsidRPr="00000000">
          <w:rPr>
            <w:rtl w:val="0"/>
          </w:rPr>
          <w:t xml:space="preserve">https://academic.oup.com/cid/advance-article-abstract/doi/10.1093/cid/ciaa500/5825754</w:t>
        </w:r>
      </w:hyperlink>
      <w:hyperlink r:id="rId20">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03B">
      <w:pPr>
        <w:widowControl w:val="0"/>
        <w:spacing w:after="220" w:line="240" w:lineRule="auto"/>
        <w:ind w:left="440"/>
        <w:rPr/>
      </w:pPr>
      <w:r w:rsidDel="00000000" w:rsidR="00000000" w:rsidRPr="00000000">
        <w:rPr>
          <w:rtl w:val="0"/>
        </w:rPr>
        <w:t xml:space="preserve">2</w:t>
        <w:tab/>
      </w:r>
      <w:hyperlink r:id="rId21">
        <w:r w:rsidDel="00000000" w:rsidR="00000000" w:rsidRPr="00000000">
          <w:rPr>
            <w:rtl w:val="0"/>
          </w:rPr>
          <w:t xml:space="preserve">Blair-West GW, Cantor CH, Mellsop GW, Eyeson-Annan ML. Lifetime suicide risk in major depression: Sex and age determinants. </w:t>
        </w:r>
      </w:hyperlink>
      <w:hyperlink r:id="rId22">
        <w:r w:rsidDel="00000000" w:rsidR="00000000" w:rsidRPr="00000000">
          <w:rPr>
            <w:i w:val="1"/>
            <w:rtl w:val="0"/>
          </w:rPr>
          <w:t xml:space="preserve">J Affect Disord</w:t>
        </w:r>
      </w:hyperlink>
      <w:hyperlink r:id="rId23">
        <w:r w:rsidDel="00000000" w:rsidR="00000000" w:rsidRPr="00000000">
          <w:rPr>
            <w:rtl w:val="0"/>
          </w:rPr>
          <w:t xml:space="preserve"> 1999; </w:t>
        </w:r>
      </w:hyperlink>
      <w:hyperlink r:id="rId24">
        <w:r w:rsidDel="00000000" w:rsidR="00000000" w:rsidRPr="00000000">
          <w:rPr>
            <w:b w:val="1"/>
            <w:rtl w:val="0"/>
          </w:rPr>
          <w:t xml:space="preserve">55</w:t>
        </w:r>
      </w:hyperlink>
      <w:hyperlink r:id="rId25">
        <w:r w:rsidDel="00000000" w:rsidR="00000000" w:rsidRPr="00000000">
          <w:rPr>
            <w:rtl w:val="0"/>
          </w:rPr>
          <w:t xml:space="preserve">: 171–8.</w:t>
        </w:r>
      </w:hyperlink>
      <w:r w:rsidDel="00000000" w:rsidR="00000000" w:rsidRPr="00000000">
        <w:rPr>
          <w:rtl w:val="0"/>
        </w:rPr>
      </w:r>
    </w:p>
    <w:p w:rsidR="00000000" w:rsidDel="00000000" w:rsidP="00000000" w:rsidRDefault="00000000" w:rsidRPr="00000000" w14:paraId="0000003C">
      <w:pPr>
        <w:widowControl w:val="0"/>
        <w:spacing w:after="220" w:line="240" w:lineRule="auto"/>
        <w:ind w:left="440"/>
        <w:rPr/>
      </w:pPr>
      <w:r w:rsidDel="00000000" w:rsidR="00000000" w:rsidRPr="00000000">
        <w:rPr>
          <w:rtl w:val="0"/>
        </w:rPr>
        <w:t xml:space="preserve">3</w:t>
        <w:tab/>
      </w:r>
      <w:hyperlink r:id="rId26">
        <w:r w:rsidDel="00000000" w:rsidR="00000000" w:rsidRPr="00000000">
          <w:rPr>
            <w:rtl w:val="0"/>
          </w:rPr>
          <w:t xml:space="preserve">Fox V, Dalman C, Dal H, Hollander A-C, Kirkbride JB, Pitman A. Suicide risk in people with post-traumatic stress disorder: a cohort study of 3.1 million people in Sweden. </w:t>
        </w:r>
      </w:hyperlink>
      <w:hyperlink r:id="rId27">
        <w:r w:rsidDel="00000000" w:rsidR="00000000" w:rsidRPr="00000000">
          <w:rPr>
            <w:i w:val="1"/>
            <w:rtl w:val="0"/>
          </w:rPr>
          <w:t xml:space="preserve">J Affect Disord</w:t>
        </w:r>
      </w:hyperlink>
      <w:hyperlink r:id="rId28">
        <w:r w:rsidDel="00000000" w:rsidR="00000000" w:rsidRPr="00000000">
          <w:rPr>
            <w:rtl w:val="0"/>
          </w:rPr>
          <w:t xml:space="preserve"> 2020; published online Oct 8. DOI:</w:t>
        </w:r>
      </w:hyperlink>
      <w:hyperlink r:id="rId29">
        <w:r w:rsidDel="00000000" w:rsidR="00000000" w:rsidRPr="00000000">
          <w:rPr>
            <w:rtl w:val="0"/>
          </w:rPr>
          <w:t xml:space="preserve">10.1016/j.jad.2020.10.009</w:t>
        </w:r>
      </w:hyperlink>
      <w:hyperlink r:id="rId30">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03D">
      <w:pPr>
        <w:widowControl w:val="0"/>
        <w:spacing w:after="220" w:line="240" w:lineRule="auto"/>
        <w:ind w:left="440"/>
        <w:rPr/>
      </w:pPr>
      <w:r w:rsidDel="00000000" w:rsidR="00000000" w:rsidRPr="00000000">
        <w:rPr>
          <w:rtl w:val="0"/>
        </w:rPr>
        <w:t xml:space="preserve">4</w:t>
        <w:tab/>
      </w:r>
      <w:hyperlink r:id="rId31">
        <w:r w:rsidDel="00000000" w:rsidR="00000000" w:rsidRPr="00000000">
          <w:rPr>
            <w:rtl w:val="0"/>
          </w:rPr>
          <w:t xml:space="preserve">Allgulander C. Suicide and mortality patterns in anxiety neurosis and depressive neurosis. </w:t>
        </w:r>
      </w:hyperlink>
      <w:hyperlink r:id="rId32">
        <w:r w:rsidDel="00000000" w:rsidR="00000000" w:rsidRPr="00000000">
          <w:rPr>
            <w:i w:val="1"/>
            <w:rtl w:val="0"/>
          </w:rPr>
          <w:t xml:space="preserve">Arch Gen Psychiatry</w:t>
        </w:r>
      </w:hyperlink>
      <w:hyperlink r:id="rId33">
        <w:r w:rsidDel="00000000" w:rsidR="00000000" w:rsidRPr="00000000">
          <w:rPr>
            <w:rtl w:val="0"/>
          </w:rPr>
          <w:t xml:space="preserve"> 1994; </w:t>
        </w:r>
      </w:hyperlink>
      <w:hyperlink r:id="rId34">
        <w:r w:rsidDel="00000000" w:rsidR="00000000" w:rsidRPr="00000000">
          <w:rPr>
            <w:b w:val="1"/>
            <w:rtl w:val="0"/>
          </w:rPr>
          <w:t xml:space="preserve">51</w:t>
        </w:r>
      </w:hyperlink>
      <w:hyperlink r:id="rId35">
        <w:r w:rsidDel="00000000" w:rsidR="00000000" w:rsidRPr="00000000">
          <w:rPr>
            <w:rtl w:val="0"/>
          </w:rPr>
          <w:t xml:space="preserve">: 708–12.</w:t>
        </w:r>
      </w:hyperlink>
      <w:r w:rsidDel="00000000" w:rsidR="00000000" w:rsidRPr="00000000">
        <w:rPr>
          <w:rtl w:val="0"/>
        </w:rPr>
      </w:r>
    </w:p>
    <w:p w:rsidR="00000000" w:rsidDel="00000000" w:rsidP="00000000" w:rsidRDefault="00000000" w:rsidRPr="00000000" w14:paraId="0000003E">
      <w:pPr>
        <w:widowControl w:val="0"/>
        <w:spacing w:after="220" w:line="240" w:lineRule="auto"/>
        <w:ind w:left="440"/>
        <w:rPr/>
      </w:pPr>
      <w:r w:rsidDel="00000000" w:rsidR="00000000" w:rsidRPr="00000000">
        <w:rPr>
          <w:rtl w:val="0"/>
        </w:rPr>
      </w:r>
    </w:p>
    <w:p w:rsidR="00000000" w:rsidDel="00000000" w:rsidP="00000000" w:rsidRDefault="00000000" w:rsidRPr="00000000" w14:paraId="0000003F">
      <w:pPr>
        <w:spacing w:line="480" w:lineRule="auto"/>
        <w:rPr/>
      </w:pPr>
      <w:bookmarkStart w:colFirst="0" w:colLast="0" w:name="_heading=h.cfqx391leflq" w:id="1"/>
      <w:bookmarkEnd w:id="1"/>
      <w:r w:rsidDel="00000000" w:rsidR="00000000" w:rsidRPr="00000000">
        <w:rPr>
          <w:rtl w:val="0"/>
        </w:rPr>
      </w:r>
    </w:p>
    <w:p w:rsidR="00000000" w:rsidDel="00000000" w:rsidP="00000000" w:rsidRDefault="00000000" w:rsidRPr="00000000" w14:paraId="00000040">
      <w:pPr>
        <w:spacing w:line="480" w:lineRule="auto"/>
        <w:rPr/>
      </w:pPr>
      <w:bookmarkStart w:colFirst="0" w:colLast="0" w:name="_heading=h.6av67g9drst1" w:id="2"/>
      <w:bookmarkEnd w:id="2"/>
      <w:r w:rsidDel="00000000" w:rsidR="00000000" w:rsidRPr="00000000">
        <w:rPr>
          <w:rtl w:val="0"/>
        </w:rPr>
      </w:r>
    </w:p>
    <w:sectPr>
      <w:footerReference r:id="rId3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paragraph" w:styleId="a6">
    <w:name w:val="annotation text"/>
    <w:basedOn w:val="a"/>
    <w:link w:val="a7"/>
    <w:uiPriority w:val="99"/>
    <w:unhideWhenUsed w:val="1"/>
  </w:style>
  <w:style w:type="character" w:styleId="a7" w:customStyle="1">
    <w:name w:val="コメント文字列 (文字)"/>
    <w:basedOn w:val="a0"/>
    <w:link w:val="a6"/>
    <w:uiPriority w:val="99"/>
  </w:style>
  <w:style w:type="character" w:styleId="a8">
    <w:name w:val="annotation reference"/>
    <w:basedOn w:val="a0"/>
    <w:uiPriority w:val="99"/>
    <w:semiHidden w:val="1"/>
    <w:unhideWhenUsed w:val="1"/>
    <w:rPr>
      <w:sz w:val="18"/>
      <w:szCs w:val="18"/>
    </w:rPr>
  </w:style>
  <w:style w:type="paragraph" w:styleId="a9">
    <w:name w:val="Balloon Text"/>
    <w:basedOn w:val="a"/>
    <w:link w:val="aa"/>
    <w:uiPriority w:val="99"/>
    <w:semiHidden w:val="1"/>
    <w:unhideWhenUsed w:val="1"/>
    <w:rsid w:val="00D4288B"/>
    <w:pPr>
      <w:spacing w:line="240" w:lineRule="auto"/>
    </w:pPr>
    <w:rPr>
      <w:rFonts w:ascii="ＭＳ 明朝" w:eastAsia="ＭＳ 明朝"/>
      <w:sz w:val="18"/>
      <w:szCs w:val="18"/>
    </w:rPr>
  </w:style>
  <w:style w:type="character" w:styleId="aa" w:customStyle="1">
    <w:name w:val="吹き出し (文字)"/>
    <w:basedOn w:val="a0"/>
    <w:link w:val="a9"/>
    <w:uiPriority w:val="99"/>
    <w:semiHidden w:val="1"/>
    <w:rsid w:val="00D4288B"/>
    <w:rPr>
      <w:rFonts w:ascii="ＭＳ 明朝" w:eastAsia="ＭＳ 明朝"/>
      <w:sz w:val="18"/>
      <w:szCs w:val="18"/>
    </w:rPr>
  </w:style>
  <w:style w:type="paragraph" w:styleId="ab">
    <w:name w:val="annotation subject"/>
    <w:basedOn w:val="a6"/>
    <w:next w:val="a6"/>
    <w:link w:val="ac"/>
    <w:uiPriority w:val="99"/>
    <w:semiHidden w:val="1"/>
    <w:unhideWhenUsed w:val="1"/>
    <w:rsid w:val="00AB12AE"/>
    <w:pPr>
      <w:spacing w:line="240" w:lineRule="auto"/>
    </w:pPr>
    <w:rPr>
      <w:b w:val="1"/>
      <w:bCs w:val="1"/>
      <w:sz w:val="20"/>
      <w:szCs w:val="20"/>
    </w:rPr>
  </w:style>
  <w:style w:type="character" w:styleId="ac" w:customStyle="1">
    <w:name w:val="コメント内容 (文字)"/>
    <w:basedOn w:val="a7"/>
    <w:link w:val="ab"/>
    <w:uiPriority w:val="99"/>
    <w:semiHidden w:val="1"/>
    <w:rsid w:val="00AB12AE"/>
    <w:rPr>
      <w:b w:val="1"/>
      <w:bCs w:val="1"/>
      <w:sz w:val="20"/>
      <w:szCs w:val="20"/>
    </w:rPr>
  </w:style>
  <w:style w:type="table" w:styleId="ad" w:customStyle="1">
    <w:basedOn w:val="a1"/>
    <w:tblPr>
      <w:tblStyleRowBandSize w:val="1"/>
      <w:tblStyleColBandSize w:val="1"/>
      <w:tblCellMar>
        <w:top w:w="100.0" w:type="dxa"/>
        <w:left w:w="100.0" w:type="dxa"/>
        <w:bottom w:w="100.0" w:type="dxa"/>
        <w:right w:w="100.0" w:type="dxa"/>
      </w:tblCellMar>
    </w:tblPr>
  </w:style>
  <w:style w:type="paragraph" w:styleId="ae">
    <w:name w:val="header"/>
    <w:basedOn w:val="a"/>
    <w:link w:val="af"/>
    <w:uiPriority w:val="99"/>
    <w:unhideWhenUsed w:val="1"/>
    <w:rsid w:val="002C11C6"/>
    <w:pPr>
      <w:tabs>
        <w:tab w:val="center" w:pos="4252"/>
        <w:tab w:val="right" w:pos="8504"/>
      </w:tabs>
      <w:snapToGrid w:val="0"/>
    </w:pPr>
  </w:style>
  <w:style w:type="character" w:styleId="af" w:customStyle="1">
    <w:name w:val="ヘッダー (文字)"/>
    <w:basedOn w:val="a0"/>
    <w:link w:val="ae"/>
    <w:uiPriority w:val="99"/>
    <w:rsid w:val="002C11C6"/>
  </w:style>
  <w:style w:type="paragraph" w:styleId="af0">
    <w:name w:val="footer"/>
    <w:basedOn w:val="a"/>
    <w:link w:val="af1"/>
    <w:uiPriority w:val="99"/>
    <w:unhideWhenUsed w:val="1"/>
    <w:rsid w:val="002C11C6"/>
    <w:pPr>
      <w:tabs>
        <w:tab w:val="center" w:pos="4252"/>
        <w:tab w:val="right" w:pos="8504"/>
      </w:tabs>
      <w:snapToGrid w:val="0"/>
    </w:pPr>
  </w:style>
  <w:style w:type="character" w:styleId="af1" w:customStyle="1">
    <w:name w:val="フッター (文字)"/>
    <w:basedOn w:val="a0"/>
    <w:link w:val="af0"/>
    <w:uiPriority w:val="99"/>
    <w:rsid w:val="002C11C6"/>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paperpile.com/b/DYGxqF/fa97R" TargetMode="External"/><Relationship Id="rId22" Type="http://schemas.openxmlformats.org/officeDocument/2006/relationships/hyperlink" Target="http://paperpile.com/b/DYGxqF/2xAhx" TargetMode="External"/><Relationship Id="rId21" Type="http://schemas.openxmlformats.org/officeDocument/2006/relationships/hyperlink" Target="http://paperpile.com/b/DYGxqF/2xAhx" TargetMode="External"/><Relationship Id="rId24" Type="http://schemas.openxmlformats.org/officeDocument/2006/relationships/hyperlink" Target="http://paperpile.com/b/DYGxqF/2xAhx" TargetMode="External"/><Relationship Id="rId23" Type="http://schemas.openxmlformats.org/officeDocument/2006/relationships/hyperlink" Target="http://paperpile.com/b/DYGxqF/2xAh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paperpile.com/b/DYGxqF/d1448" TargetMode="External"/><Relationship Id="rId25" Type="http://schemas.openxmlformats.org/officeDocument/2006/relationships/hyperlink" Target="http://paperpile.com/b/DYGxqF/2xAhx" TargetMode="External"/><Relationship Id="rId28" Type="http://schemas.openxmlformats.org/officeDocument/2006/relationships/hyperlink" Target="http://paperpile.com/b/DYGxqF/d1448" TargetMode="External"/><Relationship Id="rId27" Type="http://schemas.openxmlformats.org/officeDocument/2006/relationships/hyperlink" Target="http://paperpile.com/b/DYGxqF/d1448"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dx.doi.org/10.1016/j.jad.2020.10.009" TargetMode="External"/><Relationship Id="rId7" Type="http://schemas.openxmlformats.org/officeDocument/2006/relationships/hyperlink" Target="mailto:t.chiba0906@gmail.com" TargetMode="External"/><Relationship Id="rId8" Type="http://schemas.openxmlformats.org/officeDocument/2006/relationships/image" Target="media/image1.png"/><Relationship Id="rId31" Type="http://schemas.openxmlformats.org/officeDocument/2006/relationships/hyperlink" Target="http://paperpile.com/b/DYGxqF/VIVUN" TargetMode="External"/><Relationship Id="rId30" Type="http://schemas.openxmlformats.org/officeDocument/2006/relationships/hyperlink" Target="http://paperpile.com/b/DYGxqF/d1448" TargetMode="External"/><Relationship Id="rId11" Type="http://schemas.openxmlformats.org/officeDocument/2006/relationships/hyperlink" Target="https://web.sapmed.ac.jp/canmol/coronavirus/index.html?d=1" TargetMode="External"/><Relationship Id="rId33" Type="http://schemas.openxmlformats.org/officeDocument/2006/relationships/hyperlink" Target="http://paperpile.com/b/DYGxqF/VIVUN" TargetMode="External"/><Relationship Id="rId10" Type="http://schemas.openxmlformats.org/officeDocument/2006/relationships/hyperlink" Target="https://paperpile.com/c/DYGxqF/fa97R" TargetMode="External"/><Relationship Id="rId32" Type="http://schemas.openxmlformats.org/officeDocument/2006/relationships/hyperlink" Target="http://paperpile.com/b/DYGxqF/VIVUN" TargetMode="External"/><Relationship Id="rId13" Type="http://schemas.openxmlformats.org/officeDocument/2006/relationships/image" Target="media/image2.png"/><Relationship Id="rId35" Type="http://schemas.openxmlformats.org/officeDocument/2006/relationships/hyperlink" Target="http://paperpile.com/b/DYGxqF/VIVUN" TargetMode="External"/><Relationship Id="rId12" Type="http://schemas.openxmlformats.org/officeDocument/2006/relationships/hyperlink" Target="https://paperpile.com/c/DYGxqF/vfgXR+2xAhx+d1448+VIVUN" TargetMode="External"/><Relationship Id="rId34" Type="http://schemas.openxmlformats.org/officeDocument/2006/relationships/hyperlink" Target="http://paperpile.com/b/DYGxqF/VIVUN" TargetMode="External"/><Relationship Id="rId15" Type="http://schemas.openxmlformats.org/officeDocument/2006/relationships/image" Target="media/image5.png"/><Relationship Id="rId14" Type="http://schemas.openxmlformats.org/officeDocument/2006/relationships/image" Target="media/image3.png"/><Relationship Id="rId36" Type="http://schemas.openxmlformats.org/officeDocument/2006/relationships/footer" Target="footer1.xml"/><Relationship Id="rId17" Type="http://schemas.openxmlformats.org/officeDocument/2006/relationships/hyperlink" Target="http://paperpile.com/b/DYGxqF/fa97R" TargetMode="External"/><Relationship Id="rId16" Type="http://schemas.openxmlformats.org/officeDocument/2006/relationships/hyperlink" Target="http://paperpile.com/b/DYGxqF/fa97R" TargetMode="External"/><Relationship Id="rId19" Type="http://schemas.openxmlformats.org/officeDocument/2006/relationships/hyperlink" Target="https://academic.oup.com/cid/advance-article-abstract/doi/10.1093/cid/ciaa500/5825754" TargetMode="External"/><Relationship Id="rId18" Type="http://schemas.openxmlformats.org/officeDocument/2006/relationships/hyperlink" Target="http://paperpile.com/b/DYGxqF/fa97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2gJZ5DwiuNbqLr4GBqQoj/nsiA==">AMUW2mU+Gu5B1Tb0udHSHDNXww9QVY/+0e0DDm1FrGr62osSAxYENDti4aQbtB8H2pKauV50ReXfX4oquRfYT7kVm6/GD+P7sJooZXz5xbDKeey3+qLa8j8iSRRMexLTfRhutbdUfF15zvzU5SGhsTrqx6J6WmR/UcOJCGcHcOIroZ8BQaK1rEE=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2020-12-15T02:05:00Z</dcterms:created>
  <dc:creator>chiba</dc:creator>
</cp:coreProperties>
</file>