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CDA0" w14:textId="77777777" w:rsidR="006B5426" w:rsidRPr="0086710F" w:rsidRDefault="006B5426" w:rsidP="006B5426">
      <w:pPr>
        <w:pStyle w:val="Default"/>
        <w:jc w:val="both"/>
        <w:rPr>
          <w:rFonts w:asciiTheme="majorHAnsi" w:hAnsiTheme="majorHAnsi" w:cstheme="majorHAnsi"/>
          <w:b/>
          <w:bCs/>
          <w:sz w:val="28"/>
        </w:rPr>
      </w:pPr>
      <w:r>
        <w:rPr>
          <w:rFonts w:asciiTheme="majorHAnsi" w:hAnsiTheme="majorHAnsi" w:cstheme="majorHAnsi"/>
          <w:b/>
          <w:bCs/>
          <w:sz w:val="28"/>
        </w:rPr>
        <w:t>Assessing the impact</w:t>
      </w:r>
      <w:r w:rsidRPr="0086710F">
        <w:rPr>
          <w:rFonts w:asciiTheme="majorHAnsi" w:hAnsiTheme="majorHAnsi" w:cstheme="majorHAnsi"/>
          <w:b/>
          <w:bCs/>
          <w:sz w:val="28"/>
        </w:rPr>
        <w:t xml:space="preserve"> of preventive mass vaccination campaigns on yellow fever outbreaks in </w:t>
      </w:r>
      <w:proofErr w:type="gramStart"/>
      <w:r w:rsidRPr="0086710F">
        <w:rPr>
          <w:rFonts w:asciiTheme="majorHAnsi" w:hAnsiTheme="majorHAnsi" w:cstheme="majorHAnsi"/>
          <w:b/>
          <w:bCs/>
          <w:sz w:val="28"/>
        </w:rPr>
        <w:t>Africa</w:t>
      </w:r>
      <w:r>
        <w:rPr>
          <w:rFonts w:asciiTheme="majorHAnsi" w:hAnsiTheme="majorHAnsi" w:cstheme="majorHAnsi"/>
          <w:b/>
          <w:bCs/>
          <w:sz w:val="28"/>
        </w:rPr>
        <w:t xml:space="preserve"> :</w:t>
      </w:r>
      <w:proofErr w:type="gramEnd"/>
      <w:r>
        <w:rPr>
          <w:rFonts w:asciiTheme="majorHAnsi" w:hAnsiTheme="majorHAnsi" w:cstheme="majorHAnsi"/>
          <w:b/>
          <w:bCs/>
          <w:sz w:val="28"/>
        </w:rPr>
        <w:t xml:space="preserve"> a population-level self-controlled case-s</w:t>
      </w:r>
      <w:r w:rsidRPr="0086710F">
        <w:rPr>
          <w:rFonts w:asciiTheme="majorHAnsi" w:hAnsiTheme="majorHAnsi" w:cstheme="majorHAnsi"/>
          <w:b/>
          <w:bCs/>
          <w:sz w:val="28"/>
        </w:rPr>
        <w:t xml:space="preserve">eries </w:t>
      </w:r>
      <w:r>
        <w:rPr>
          <w:rFonts w:asciiTheme="majorHAnsi" w:hAnsiTheme="majorHAnsi" w:cstheme="majorHAnsi"/>
          <w:b/>
          <w:bCs/>
          <w:sz w:val="28"/>
        </w:rPr>
        <w:t>study</w:t>
      </w:r>
    </w:p>
    <w:p w14:paraId="27792780" w14:textId="77777777" w:rsidR="006B5426" w:rsidRDefault="006B5426" w:rsidP="006B5426">
      <w:pPr>
        <w:pStyle w:val="Default"/>
        <w:jc w:val="both"/>
        <w:rPr>
          <w:rFonts w:asciiTheme="majorHAnsi" w:hAnsiTheme="majorHAnsi" w:cstheme="majorHAnsi"/>
          <w:b/>
          <w:bCs/>
        </w:rPr>
      </w:pPr>
    </w:p>
    <w:p w14:paraId="6DED3210" w14:textId="77777777" w:rsidR="006B5426" w:rsidRDefault="006B5426" w:rsidP="006B5426">
      <w:pPr>
        <w:pStyle w:val="Default"/>
        <w:jc w:val="both"/>
        <w:rPr>
          <w:rFonts w:asciiTheme="majorHAnsi" w:hAnsiTheme="majorHAnsi" w:cstheme="majorHAnsi"/>
          <w:bCs/>
          <w:i/>
        </w:rPr>
      </w:pPr>
      <w:proofErr w:type="spellStart"/>
      <w:r w:rsidRPr="00C56F92">
        <w:rPr>
          <w:rFonts w:asciiTheme="majorHAnsi" w:hAnsiTheme="majorHAnsi" w:cstheme="majorHAnsi"/>
          <w:bCs/>
          <w:i/>
        </w:rPr>
        <w:t>Kévin</w:t>
      </w:r>
      <w:proofErr w:type="spellEnd"/>
      <w:r w:rsidRPr="00C56F92">
        <w:rPr>
          <w:rFonts w:asciiTheme="majorHAnsi" w:hAnsiTheme="majorHAnsi" w:cstheme="majorHAnsi"/>
          <w:bCs/>
          <w:i/>
        </w:rPr>
        <w:t xml:space="preserve"> Jean</w:t>
      </w:r>
      <w:r w:rsidRPr="0010449B">
        <w:rPr>
          <w:rFonts w:asciiTheme="majorHAnsi" w:hAnsiTheme="majorHAnsi" w:cstheme="majorHAnsi"/>
          <w:bCs/>
          <w:i/>
          <w:vertAlign w:val="superscript"/>
        </w:rPr>
        <w:t>1,2,3</w:t>
      </w:r>
      <w:r w:rsidRPr="001036F4">
        <w:rPr>
          <w:rFonts w:asciiTheme="majorHAnsi" w:hAnsiTheme="majorHAnsi" w:cstheme="majorHAnsi"/>
          <w:bCs/>
          <w:i/>
        </w:rPr>
        <w:t>,</w:t>
      </w:r>
      <w:r>
        <w:rPr>
          <w:rFonts w:asciiTheme="majorHAnsi" w:hAnsiTheme="majorHAnsi" w:cstheme="majorHAnsi"/>
          <w:bCs/>
          <w:i/>
          <w:vertAlign w:val="superscript"/>
        </w:rPr>
        <w:t xml:space="preserve"> </w:t>
      </w:r>
      <w:proofErr w:type="spellStart"/>
      <w:r w:rsidRPr="00C56F92">
        <w:rPr>
          <w:rFonts w:asciiTheme="majorHAnsi" w:hAnsiTheme="majorHAnsi" w:cstheme="majorHAnsi"/>
          <w:bCs/>
          <w:i/>
        </w:rPr>
        <w:t>Hanaya</w:t>
      </w:r>
      <w:proofErr w:type="spellEnd"/>
      <w:r w:rsidRPr="00C56F92">
        <w:rPr>
          <w:rFonts w:asciiTheme="majorHAnsi" w:hAnsiTheme="majorHAnsi" w:cstheme="majorHAnsi"/>
          <w:bCs/>
          <w:i/>
        </w:rPr>
        <w:t xml:space="preserve"> Raad</w:t>
      </w:r>
      <w:r>
        <w:rPr>
          <w:rFonts w:asciiTheme="majorHAnsi" w:hAnsiTheme="majorHAnsi" w:cstheme="majorHAnsi"/>
          <w:bCs/>
          <w:i/>
          <w:vertAlign w:val="superscript"/>
        </w:rPr>
        <w:t>1,</w:t>
      </w:r>
      <w:r w:rsidRPr="0010449B">
        <w:rPr>
          <w:rFonts w:asciiTheme="majorHAnsi" w:hAnsiTheme="majorHAnsi" w:cstheme="majorHAnsi"/>
          <w:bCs/>
          <w:i/>
          <w:vertAlign w:val="superscript"/>
        </w:rPr>
        <w:t>2</w:t>
      </w:r>
      <w:r>
        <w:rPr>
          <w:rFonts w:asciiTheme="majorHAnsi" w:hAnsiTheme="majorHAnsi" w:cstheme="majorHAnsi"/>
          <w:bCs/>
          <w:i/>
          <w:vertAlign w:val="superscript"/>
        </w:rPr>
        <w:t>,4</w:t>
      </w:r>
      <w:r w:rsidRPr="00C56F92">
        <w:rPr>
          <w:rFonts w:asciiTheme="majorHAnsi" w:hAnsiTheme="majorHAnsi" w:cstheme="majorHAnsi"/>
          <w:bCs/>
          <w:i/>
        </w:rPr>
        <w:t xml:space="preserve">, Katy </w:t>
      </w:r>
      <w:r>
        <w:rPr>
          <w:rFonts w:asciiTheme="majorHAnsi" w:hAnsiTheme="majorHAnsi" w:cstheme="majorHAnsi"/>
          <w:bCs/>
          <w:i/>
        </w:rPr>
        <w:t xml:space="preserve">A. M. </w:t>
      </w:r>
      <w:r w:rsidRPr="00C56F92">
        <w:rPr>
          <w:rFonts w:asciiTheme="majorHAnsi" w:hAnsiTheme="majorHAnsi" w:cstheme="majorHAnsi"/>
          <w:bCs/>
          <w:i/>
        </w:rPr>
        <w:t>Gaythorpe</w:t>
      </w:r>
      <w:r w:rsidRPr="0010449B">
        <w:rPr>
          <w:rFonts w:asciiTheme="majorHAnsi" w:hAnsiTheme="majorHAnsi" w:cstheme="majorHAnsi"/>
          <w:bCs/>
          <w:i/>
          <w:vertAlign w:val="superscript"/>
        </w:rPr>
        <w:t>3</w:t>
      </w:r>
      <w:r w:rsidRPr="00C56F92">
        <w:rPr>
          <w:rFonts w:asciiTheme="majorHAnsi" w:hAnsiTheme="majorHAnsi" w:cstheme="majorHAnsi"/>
          <w:bCs/>
          <w:i/>
        </w:rPr>
        <w:t>, Arran Hamlet</w:t>
      </w:r>
      <w:r w:rsidRPr="0010449B">
        <w:rPr>
          <w:rFonts w:asciiTheme="majorHAnsi" w:hAnsiTheme="majorHAnsi" w:cstheme="majorHAnsi"/>
          <w:bCs/>
          <w:i/>
          <w:vertAlign w:val="superscript"/>
        </w:rPr>
        <w:t>3</w:t>
      </w:r>
      <w:r>
        <w:rPr>
          <w:rFonts w:asciiTheme="majorHAnsi" w:hAnsiTheme="majorHAnsi" w:cstheme="majorHAnsi"/>
          <w:bCs/>
          <w:i/>
        </w:rPr>
        <w:t>,</w:t>
      </w:r>
      <w:r w:rsidRPr="00C56F92">
        <w:rPr>
          <w:rFonts w:asciiTheme="majorHAnsi" w:hAnsiTheme="majorHAnsi" w:cstheme="majorHAnsi"/>
          <w:bCs/>
          <w:i/>
        </w:rPr>
        <w:t xml:space="preserve"> </w:t>
      </w:r>
      <w:r>
        <w:rPr>
          <w:rFonts w:asciiTheme="majorHAnsi" w:hAnsiTheme="majorHAnsi" w:cstheme="majorHAnsi"/>
          <w:bCs/>
          <w:i/>
        </w:rPr>
        <w:t>Judith E. Mueller</w:t>
      </w:r>
      <w:r w:rsidRPr="0010449B">
        <w:rPr>
          <w:rFonts w:asciiTheme="majorHAnsi" w:hAnsiTheme="majorHAnsi" w:cstheme="majorHAnsi"/>
          <w:bCs/>
          <w:i/>
          <w:vertAlign w:val="superscript"/>
        </w:rPr>
        <w:t>2,</w:t>
      </w:r>
      <w:r w:rsidRPr="00BF794D">
        <w:rPr>
          <w:rFonts w:asciiTheme="majorHAnsi" w:hAnsiTheme="majorHAnsi" w:cstheme="majorHAnsi"/>
          <w:bCs/>
          <w:i/>
          <w:vertAlign w:val="superscript"/>
        </w:rPr>
        <w:t>4</w:t>
      </w:r>
      <w:r>
        <w:rPr>
          <w:rFonts w:asciiTheme="majorHAnsi" w:hAnsiTheme="majorHAnsi" w:cstheme="majorHAnsi"/>
          <w:bCs/>
          <w:i/>
        </w:rPr>
        <w:t>, Dan Hogan</w:t>
      </w:r>
      <w:r w:rsidRPr="00390CC9">
        <w:rPr>
          <w:rFonts w:asciiTheme="majorHAnsi" w:hAnsiTheme="majorHAnsi" w:cstheme="majorHAnsi"/>
          <w:bCs/>
          <w:i/>
          <w:vertAlign w:val="superscript"/>
        </w:rPr>
        <w:t>5</w:t>
      </w:r>
      <w:r>
        <w:rPr>
          <w:rFonts w:asciiTheme="majorHAnsi" w:hAnsiTheme="majorHAnsi" w:cstheme="majorHAnsi"/>
          <w:bCs/>
          <w:i/>
        </w:rPr>
        <w:t xml:space="preserve">, </w:t>
      </w:r>
      <w:proofErr w:type="spellStart"/>
      <w:r w:rsidRPr="00FA5E12">
        <w:rPr>
          <w:rFonts w:asciiTheme="majorHAnsi" w:hAnsiTheme="majorHAnsi" w:cstheme="majorHAnsi"/>
          <w:bCs/>
          <w:i/>
        </w:rPr>
        <w:t>Tewodaj</w:t>
      </w:r>
      <w:proofErr w:type="spellEnd"/>
      <w:r w:rsidRPr="00FA5E12">
        <w:rPr>
          <w:rFonts w:asciiTheme="majorHAnsi" w:hAnsiTheme="majorHAnsi" w:cstheme="majorHAnsi"/>
          <w:bCs/>
          <w:i/>
        </w:rPr>
        <w:t xml:space="preserve"> Mengistu</w:t>
      </w:r>
      <w:r w:rsidRPr="00390CC9">
        <w:rPr>
          <w:rFonts w:asciiTheme="majorHAnsi" w:hAnsiTheme="majorHAnsi" w:cstheme="majorHAnsi"/>
          <w:bCs/>
          <w:i/>
          <w:vertAlign w:val="superscript"/>
        </w:rPr>
        <w:t>5</w:t>
      </w:r>
      <w:r>
        <w:t xml:space="preserve">, </w:t>
      </w:r>
      <w:r>
        <w:rPr>
          <w:rFonts w:asciiTheme="majorHAnsi" w:hAnsiTheme="majorHAnsi" w:cstheme="majorHAnsi"/>
          <w:bCs/>
          <w:i/>
        </w:rPr>
        <w:t>Heather J. Whitaker</w:t>
      </w:r>
      <w:r>
        <w:rPr>
          <w:rFonts w:asciiTheme="majorHAnsi" w:hAnsiTheme="majorHAnsi" w:cstheme="majorHAnsi"/>
          <w:bCs/>
          <w:i/>
          <w:vertAlign w:val="superscript"/>
        </w:rPr>
        <w:t>6,7</w:t>
      </w:r>
      <w:r>
        <w:rPr>
          <w:rFonts w:asciiTheme="majorHAnsi" w:hAnsiTheme="majorHAnsi" w:cstheme="majorHAnsi"/>
          <w:bCs/>
          <w:i/>
        </w:rPr>
        <w:t xml:space="preserve">, </w:t>
      </w:r>
      <w:r>
        <w:rPr>
          <w:rFonts w:asciiTheme="majorHAnsi" w:hAnsiTheme="majorHAnsi" w:cstheme="majorHAnsi"/>
          <w:bCs/>
          <w:i/>
          <w:vertAlign w:val="superscript"/>
        </w:rPr>
        <w:t xml:space="preserve"> </w:t>
      </w:r>
      <w:proofErr w:type="spellStart"/>
      <w:r w:rsidRPr="00C56F92">
        <w:rPr>
          <w:rFonts w:asciiTheme="majorHAnsi" w:hAnsiTheme="majorHAnsi" w:cstheme="majorHAnsi"/>
          <w:bCs/>
          <w:i/>
        </w:rPr>
        <w:t>Tini</w:t>
      </w:r>
      <w:proofErr w:type="spellEnd"/>
      <w:r w:rsidRPr="00C56F92">
        <w:rPr>
          <w:rFonts w:asciiTheme="majorHAnsi" w:hAnsiTheme="majorHAnsi" w:cstheme="majorHAnsi"/>
          <w:bCs/>
          <w:i/>
        </w:rPr>
        <w:t xml:space="preserve"> Garske</w:t>
      </w:r>
      <w:r w:rsidRPr="0010449B">
        <w:rPr>
          <w:rFonts w:asciiTheme="majorHAnsi" w:hAnsiTheme="majorHAnsi" w:cstheme="majorHAnsi"/>
          <w:bCs/>
          <w:i/>
          <w:vertAlign w:val="superscript"/>
        </w:rPr>
        <w:t>3</w:t>
      </w:r>
      <w:r>
        <w:rPr>
          <w:rFonts w:asciiTheme="majorHAnsi" w:hAnsiTheme="majorHAnsi" w:cstheme="majorHAnsi"/>
          <w:bCs/>
          <w:i/>
        </w:rPr>
        <w:t xml:space="preserve">, </w:t>
      </w:r>
      <w:proofErr w:type="spellStart"/>
      <w:r w:rsidRPr="00C56F92">
        <w:rPr>
          <w:rFonts w:asciiTheme="majorHAnsi" w:hAnsiTheme="majorHAnsi" w:cstheme="majorHAnsi"/>
          <w:bCs/>
          <w:i/>
        </w:rPr>
        <w:t>Mounia</w:t>
      </w:r>
      <w:proofErr w:type="spellEnd"/>
      <w:r>
        <w:rPr>
          <w:rFonts w:asciiTheme="majorHAnsi" w:hAnsiTheme="majorHAnsi" w:cstheme="majorHAnsi"/>
          <w:bCs/>
          <w:i/>
        </w:rPr>
        <w:t xml:space="preserve"> N.</w:t>
      </w:r>
      <w:r w:rsidRPr="00C56F92">
        <w:rPr>
          <w:rFonts w:asciiTheme="majorHAnsi" w:hAnsiTheme="majorHAnsi" w:cstheme="majorHAnsi"/>
          <w:bCs/>
          <w:i/>
        </w:rPr>
        <w:t xml:space="preserve"> Hocine</w:t>
      </w:r>
      <w:r w:rsidRPr="0010449B">
        <w:rPr>
          <w:rFonts w:asciiTheme="majorHAnsi" w:hAnsiTheme="majorHAnsi" w:cstheme="majorHAnsi"/>
          <w:bCs/>
          <w:i/>
          <w:vertAlign w:val="superscript"/>
        </w:rPr>
        <w:t>1,2</w:t>
      </w:r>
    </w:p>
    <w:p w14:paraId="3FA6847A" w14:textId="77777777" w:rsidR="006B5426" w:rsidRPr="003E0BF6" w:rsidRDefault="006B5426" w:rsidP="006B5426">
      <w:pPr>
        <w:pStyle w:val="Default"/>
        <w:jc w:val="both"/>
        <w:rPr>
          <w:rFonts w:asciiTheme="majorHAnsi" w:hAnsiTheme="majorHAnsi" w:cstheme="majorHAnsi"/>
          <w:bCs/>
          <w:i/>
        </w:rPr>
      </w:pPr>
    </w:p>
    <w:p w14:paraId="72350F1D" w14:textId="77777777" w:rsidR="006B5426" w:rsidRPr="003E0BF6" w:rsidRDefault="006B5426" w:rsidP="006B5426">
      <w:pPr>
        <w:pStyle w:val="Default"/>
        <w:jc w:val="both"/>
        <w:rPr>
          <w:rFonts w:asciiTheme="majorHAnsi" w:hAnsiTheme="majorHAnsi" w:cstheme="majorHAnsi"/>
          <w:bCs/>
          <w:i/>
        </w:rPr>
      </w:pPr>
    </w:p>
    <w:p w14:paraId="7891C0B8" w14:textId="77777777" w:rsidR="006B5426" w:rsidRPr="0010449B" w:rsidRDefault="006B5426" w:rsidP="006B5426">
      <w:pPr>
        <w:pStyle w:val="Default"/>
        <w:jc w:val="both"/>
        <w:rPr>
          <w:rFonts w:asciiTheme="majorHAnsi" w:hAnsiTheme="majorHAnsi" w:cstheme="majorHAnsi"/>
          <w:bCs/>
          <w:i/>
          <w:lang w:val="fr-FR"/>
        </w:rPr>
      </w:pPr>
      <w:r w:rsidRPr="00DD38B3">
        <w:rPr>
          <w:rFonts w:asciiTheme="majorHAnsi" w:hAnsiTheme="majorHAnsi" w:cstheme="majorHAnsi"/>
          <w:bCs/>
          <w:i/>
          <w:vertAlign w:val="superscript"/>
          <w:lang w:val="fr-FR"/>
        </w:rPr>
        <w:t>1</w:t>
      </w:r>
      <w:r w:rsidRPr="0010449B">
        <w:rPr>
          <w:rFonts w:asciiTheme="majorHAnsi" w:hAnsiTheme="majorHAnsi" w:cstheme="majorHAnsi"/>
          <w:bCs/>
          <w:i/>
          <w:lang w:val="fr-FR"/>
        </w:rPr>
        <w:t xml:space="preserve"> Laboratoire </w:t>
      </w:r>
      <w:proofErr w:type="spellStart"/>
      <w:r w:rsidRPr="0010449B">
        <w:rPr>
          <w:rFonts w:asciiTheme="majorHAnsi" w:hAnsiTheme="majorHAnsi" w:cstheme="majorHAnsi"/>
          <w:bCs/>
          <w:i/>
          <w:lang w:val="fr-FR"/>
        </w:rPr>
        <w:t>MESuRS</w:t>
      </w:r>
      <w:proofErr w:type="spellEnd"/>
      <w:r w:rsidRPr="0010449B">
        <w:rPr>
          <w:rFonts w:asciiTheme="majorHAnsi" w:hAnsiTheme="majorHAnsi" w:cstheme="majorHAnsi"/>
          <w:bCs/>
          <w:i/>
          <w:lang w:val="fr-FR"/>
        </w:rPr>
        <w:t>, Conservatoire national des Ar</w:t>
      </w:r>
      <w:r>
        <w:rPr>
          <w:rFonts w:asciiTheme="majorHAnsi" w:hAnsiTheme="majorHAnsi" w:cstheme="majorHAnsi"/>
          <w:bCs/>
          <w:i/>
          <w:lang w:val="fr-FR"/>
        </w:rPr>
        <w:t>ts et Métiers, Paris, France</w:t>
      </w:r>
    </w:p>
    <w:p w14:paraId="0A9B5659" w14:textId="77777777" w:rsidR="006B5426" w:rsidRPr="0010449B" w:rsidRDefault="006B5426" w:rsidP="006B5426">
      <w:pPr>
        <w:pStyle w:val="Default"/>
        <w:jc w:val="both"/>
        <w:rPr>
          <w:rFonts w:asciiTheme="majorHAnsi" w:hAnsiTheme="majorHAnsi" w:cstheme="majorHAnsi"/>
          <w:bCs/>
          <w:i/>
          <w:lang w:val="fr-FR"/>
        </w:rPr>
      </w:pPr>
      <w:r w:rsidRPr="00DD38B3">
        <w:rPr>
          <w:rFonts w:asciiTheme="majorHAnsi" w:hAnsiTheme="majorHAnsi" w:cstheme="majorHAnsi"/>
          <w:bCs/>
          <w:i/>
          <w:vertAlign w:val="superscript"/>
          <w:lang w:val="fr-FR"/>
        </w:rPr>
        <w:t>2</w:t>
      </w:r>
      <w:r w:rsidRPr="0010449B">
        <w:rPr>
          <w:rFonts w:asciiTheme="majorHAnsi" w:hAnsiTheme="majorHAnsi" w:cstheme="majorHAnsi"/>
          <w:bCs/>
          <w:i/>
          <w:lang w:val="fr-FR"/>
        </w:rPr>
        <w:t xml:space="preserve"> Unité PACRI, Institut Pasteur, Conservatoire National des</w:t>
      </w:r>
      <w:r>
        <w:rPr>
          <w:rFonts w:asciiTheme="majorHAnsi" w:hAnsiTheme="majorHAnsi" w:cstheme="majorHAnsi"/>
          <w:bCs/>
          <w:i/>
          <w:lang w:val="fr-FR"/>
        </w:rPr>
        <w:t xml:space="preserve"> Arts et Métiers, Paris, France</w:t>
      </w:r>
    </w:p>
    <w:p w14:paraId="044C3F6B" w14:textId="77777777" w:rsidR="006B5426" w:rsidRDefault="006B5426" w:rsidP="006B5426">
      <w:pPr>
        <w:pStyle w:val="Default"/>
        <w:jc w:val="both"/>
        <w:rPr>
          <w:rFonts w:asciiTheme="majorHAnsi" w:hAnsiTheme="majorHAnsi" w:cstheme="majorHAnsi"/>
          <w:bCs/>
          <w:i/>
        </w:rPr>
      </w:pPr>
      <w:r w:rsidRPr="002F448D">
        <w:rPr>
          <w:rFonts w:asciiTheme="majorHAnsi" w:hAnsiTheme="majorHAnsi" w:cstheme="majorHAnsi"/>
          <w:bCs/>
          <w:i/>
          <w:vertAlign w:val="superscript"/>
        </w:rPr>
        <w:t>3</w:t>
      </w:r>
      <w:r>
        <w:rPr>
          <w:rFonts w:asciiTheme="majorHAnsi" w:hAnsiTheme="majorHAnsi" w:cstheme="majorHAnsi"/>
          <w:bCs/>
          <w:i/>
          <w:vertAlign w:val="superscript"/>
        </w:rPr>
        <w:t xml:space="preserve"> </w:t>
      </w:r>
      <w:r w:rsidRPr="0010449B">
        <w:rPr>
          <w:rFonts w:asciiTheme="majorHAnsi" w:hAnsiTheme="majorHAnsi" w:cstheme="majorHAnsi"/>
          <w:bCs/>
          <w:i/>
        </w:rPr>
        <w:t>MRC Centre for Global Infectious Disease Analysis, Department of Infectious Disease Epidemiology, Imperial College London</w:t>
      </w:r>
      <w:r>
        <w:rPr>
          <w:rFonts w:asciiTheme="majorHAnsi" w:hAnsiTheme="majorHAnsi" w:cstheme="majorHAnsi"/>
          <w:bCs/>
          <w:i/>
        </w:rPr>
        <w:t>, United Kingdom</w:t>
      </w:r>
    </w:p>
    <w:p w14:paraId="7C29B05A" w14:textId="77777777" w:rsidR="006B5426" w:rsidRDefault="006B5426" w:rsidP="006B5426">
      <w:pPr>
        <w:pStyle w:val="Default"/>
        <w:jc w:val="both"/>
        <w:rPr>
          <w:rFonts w:asciiTheme="majorHAnsi" w:hAnsiTheme="majorHAnsi" w:cstheme="majorHAnsi"/>
          <w:bCs/>
          <w:i/>
        </w:rPr>
      </w:pPr>
      <w:r w:rsidRPr="002F448D">
        <w:rPr>
          <w:rFonts w:asciiTheme="majorHAnsi" w:hAnsiTheme="majorHAnsi" w:cstheme="majorHAnsi"/>
          <w:bCs/>
          <w:i/>
          <w:vertAlign w:val="superscript"/>
        </w:rPr>
        <w:t>4</w:t>
      </w:r>
      <w:r>
        <w:rPr>
          <w:rFonts w:asciiTheme="majorHAnsi" w:hAnsiTheme="majorHAnsi" w:cstheme="majorHAnsi"/>
          <w:bCs/>
          <w:i/>
        </w:rPr>
        <w:t xml:space="preserve"> </w:t>
      </w:r>
      <w:r w:rsidRPr="00481532">
        <w:rPr>
          <w:rFonts w:asciiTheme="majorHAnsi" w:hAnsiTheme="majorHAnsi" w:cstheme="majorHAnsi"/>
          <w:bCs/>
          <w:i/>
        </w:rPr>
        <w:t>EHESP French School of Public Health, Paris, France</w:t>
      </w:r>
    </w:p>
    <w:p w14:paraId="665F6DA5" w14:textId="77777777" w:rsidR="006B5426" w:rsidRDefault="006B5426" w:rsidP="006B5426">
      <w:pPr>
        <w:pStyle w:val="Default"/>
        <w:jc w:val="both"/>
        <w:rPr>
          <w:rFonts w:asciiTheme="majorHAnsi" w:hAnsiTheme="majorHAnsi" w:cstheme="majorHAnsi"/>
          <w:bCs/>
          <w:i/>
        </w:rPr>
      </w:pPr>
      <w:r>
        <w:rPr>
          <w:rFonts w:asciiTheme="majorHAnsi" w:hAnsiTheme="majorHAnsi" w:cstheme="majorHAnsi"/>
          <w:bCs/>
          <w:i/>
        </w:rPr>
        <w:t xml:space="preserve">5 </w:t>
      </w:r>
      <w:proofErr w:type="spellStart"/>
      <w:r>
        <w:rPr>
          <w:rFonts w:asciiTheme="majorHAnsi" w:hAnsiTheme="majorHAnsi" w:cstheme="majorHAnsi"/>
          <w:bCs/>
          <w:i/>
        </w:rPr>
        <w:t>Gavi</w:t>
      </w:r>
      <w:proofErr w:type="spellEnd"/>
      <w:r>
        <w:rPr>
          <w:rFonts w:asciiTheme="majorHAnsi" w:hAnsiTheme="majorHAnsi" w:cstheme="majorHAnsi"/>
          <w:bCs/>
          <w:i/>
        </w:rPr>
        <w:t>, the Vaccine Alliance, Geneva, Switzerland</w:t>
      </w:r>
    </w:p>
    <w:p w14:paraId="75FE4401" w14:textId="77777777" w:rsidR="006B5426" w:rsidRDefault="006B5426" w:rsidP="006B5426">
      <w:pPr>
        <w:pStyle w:val="Default"/>
        <w:jc w:val="both"/>
        <w:rPr>
          <w:rFonts w:asciiTheme="majorHAnsi" w:hAnsiTheme="majorHAnsi" w:cstheme="majorHAnsi"/>
          <w:bCs/>
          <w:i/>
        </w:rPr>
      </w:pPr>
      <w:r>
        <w:rPr>
          <w:rFonts w:asciiTheme="majorHAnsi" w:hAnsiTheme="majorHAnsi" w:cstheme="majorHAnsi"/>
          <w:bCs/>
          <w:i/>
          <w:vertAlign w:val="superscript"/>
        </w:rPr>
        <w:t>6</w:t>
      </w:r>
      <w:r>
        <w:rPr>
          <w:rFonts w:asciiTheme="majorHAnsi" w:hAnsiTheme="majorHAnsi" w:cstheme="majorHAnsi"/>
          <w:bCs/>
          <w:i/>
        </w:rPr>
        <w:t xml:space="preserve"> Statistics, Modelling and Economics Department, National Infection Service, Public Health England, Colindale, London, United Kingdom</w:t>
      </w:r>
    </w:p>
    <w:p w14:paraId="3683DE3D" w14:textId="77777777" w:rsidR="006B5426" w:rsidRDefault="006B5426" w:rsidP="006B5426">
      <w:pPr>
        <w:pStyle w:val="Default"/>
        <w:jc w:val="both"/>
        <w:rPr>
          <w:rFonts w:asciiTheme="majorHAnsi" w:hAnsiTheme="majorHAnsi" w:cstheme="majorHAnsi"/>
          <w:bCs/>
          <w:i/>
        </w:rPr>
      </w:pPr>
      <w:r>
        <w:rPr>
          <w:rFonts w:asciiTheme="majorHAnsi" w:hAnsiTheme="majorHAnsi" w:cstheme="majorHAnsi"/>
          <w:bCs/>
          <w:i/>
          <w:vertAlign w:val="superscript"/>
        </w:rPr>
        <w:t>7</w:t>
      </w:r>
      <w:r>
        <w:rPr>
          <w:rFonts w:asciiTheme="majorHAnsi" w:hAnsiTheme="majorHAnsi" w:cstheme="majorHAnsi"/>
          <w:bCs/>
          <w:i/>
        </w:rPr>
        <w:t xml:space="preserve"> Department of Mathematics &amp; Statistics, </w:t>
      </w:r>
      <w:proofErr w:type="gramStart"/>
      <w:r>
        <w:rPr>
          <w:rFonts w:asciiTheme="majorHAnsi" w:hAnsiTheme="majorHAnsi" w:cstheme="majorHAnsi"/>
          <w:bCs/>
          <w:i/>
        </w:rPr>
        <w:t>The</w:t>
      </w:r>
      <w:proofErr w:type="gramEnd"/>
      <w:r>
        <w:rPr>
          <w:rFonts w:asciiTheme="majorHAnsi" w:hAnsiTheme="majorHAnsi" w:cstheme="majorHAnsi"/>
          <w:bCs/>
          <w:i/>
        </w:rPr>
        <w:t xml:space="preserve"> Open University, Milton Keynes, United Kingdom</w:t>
      </w:r>
    </w:p>
    <w:p w14:paraId="3DD0011F" w14:textId="77777777" w:rsidR="006E299F" w:rsidRPr="001036F4" w:rsidRDefault="006E299F" w:rsidP="006E299F">
      <w:pPr>
        <w:rPr>
          <w:rFonts w:asciiTheme="majorHAnsi" w:hAnsiTheme="majorHAnsi" w:cstheme="majorHAnsi"/>
          <w:b/>
          <w:bCs/>
          <w:lang w:val="en-GB"/>
        </w:rPr>
      </w:pPr>
    </w:p>
    <w:p w14:paraId="6FC7E683" w14:textId="77777777" w:rsidR="006E299F" w:rsidRPr="006E299F" w:rsidRDefault="006E299F" w:rsidP="006E299F">
      <w:pPr>
        <w:rPr>
          <w:rFonts w:asciiTheme="majorHAnsi" w:hAnsiTheme="majorHAnsi" w:cstheme="majorHAnsi"/>
          <w:bCs/>
          <w:lang w:val="en-GB"/>
        </w:rPr>
      </w:pPr>
      <w:r w:rsidRPr="006E299F">
        <w:rPr>
          <w:rFonts w:asciiTheme="majorHAnsi" w:hAnsiTheme="majorHAnsi" w:cstheme="majorHAnsi"/>
          <w:b/>
          <w:bCs/>
          <w:lang w:val="en-GB"/>
        </w:rPr>
        <w:t xml:space="preserve">Corresponding author: </w:t>
      </w:r>
      <w:hyperlink r:id="rId6" w:history="1">
        <w:r w:rsidRPr="006E299F">
          <w:rPr>
            <w:rStyle w:val="Lienhypertexte"/>
            <w:rFonts w:asciiTheme="majorHAnsi" w:hAnsiTheme="majorHAnsi" w:cstheme="majorHAnsi"/>
            <w:bCs/>
            <w:lang w:val="en-GB"/>
          </w:rPr>
          <w:t>kevin.jean@lecnam.net</w:t>
        </w:r>
      </w:hyperlink>
    </w:p>
    <w:p w14:paraId="42B6FF2E" w14:textId="140A86AD" w:rsidR="006E299F" w:rsidRDefault="006E299F">
      <w:pPr>
        <w:rPr>
          <w:lang w:val="en-GB"/>
        </w:rPr>
      </w:pPr>
    </w:p>
    <w:p w14:paraId="72DD6459" w14:textId="4CDABBF0" w:rsidR="006E299F" w:rsidRDefault="006E299F">
      <w:pPr>
        <w:rPr>
          <w:lang w:val="en-GB"/>
        </w:rPr>
      </w:pPr>
    </w:p>
    <w:p w14:paraId="7E68C3C5" w14:textId="77777777" w:rsidR="006E299F" w:rsidRDefault="006E299F">
      <w:pPr>
        <w:rPr>
          <w:lang w:val="en-GB"/>
        </w:rPr>
      </w:pPr>
    </w:p>
    <w:p w14:paraId="46B41676" w14:textId="234A8ECC" w:rsidR="00AA3434" w:rsidRPr="00AA3434" w:rsidRDefault="00AA3434">
      <w:pPr>
        <w:rPr>
          <w:lang w:val="en-GB"/>
        </w:rPr>
      </w:pPr>
      <w:r w:rsidRPr="00AA3434">
        <w:rPr>
          <w:rFonts w:asciiTheme="majorHAnsi" w:hAnsiTheme="majorHAnsi" w:cstheme="majorHAnsi"/>
          <w:b/>
          <w:bCs/>
          <w:color w:val="000000"/>
          <w:sz w:val="28"/>
          <w:szCs w:val="24"/>
          <w:lang w:val="en-GB"/>
        </w:rPr>
        <w:t>Supplementary Material</w:t>
      </w:r>
    </w:p>
    <w:p w14:paraId="1B7388D7" w14:textId="7E54ECAA" w:rsidR="00F018B8" w:rsidRDefault="00F018B8">
      <w:pPr>
        <w:rPr>
          <w:lang w:val="en-GB"/>
        </w:rPr>
      </w:pPr>
    </w:p>
    <w:p w14:paraId="5F33CEC8" w14:textId="19BA62CA" w:rsidR="006E299F" w:rsidRDefault="006E299F">
      <w:pPr>
        <w:rPr>
          <w:lang w:val="en-GB"/>
        </w:rPr>
      </w:pPr>
      <w:r>
        <w:rPr>
          <w:lang w:val="en-GB"/>
        </w:rPr>
        <w:br w:type="page"/>
      </w:r>
    </w:p>
    <w:p w14:paraId="1B083DAE" w14:textId="6224EE56" w:rsidR="00AA3434" w:rsidRDefault="00AA3434">
      <w:pPr>
        <w:rPr>
          <w:lang w:val="en-GB"/>
        </w:rPr>
      </w:pPr>
      <w:r w:rsidRPr="00AA3434">
        <w:rPr>
          <w:rFonts w:asciiTheme="majorHAnsi" w:hAnsiTheme="majorHAnsi" w:cstheme="majorHAnsi"/>
          <w:b/>
          <w:bCs/>
          <w:color w:val="000000"/>
          <w:sz w:val="24"/>
          <w:szCs w:val="24"/>
          <w:lang w:val="en-GB"/>
        </w:rPr>
        <w:lastRenderedPageBreak/>
        <w:t xml:space="preserve">Supplementary Text </w:t>
      </w:r>
      <w:r w:rsidR="003A63E8">
        <w:rPr>
          <w:rFonts w:asciiTheme="majorHAnsi" w:hAnsiTheme="majorHAnsi" w:cstheme="majorHAnsi"/>
          <w:b/>
          <w:bCs/>
          <w:color w:val="000000"/>
          <w:sz w:val="24"/>
          <w:szCs w:val="24"/>
          <w:lang w:val="en-GB"/>
        </w:rPr>
        <w:t>S</w:t>
      </w:r>
      <w:r w:rsidRPr="00AA3434">
        <w:rPr>
          <w:rFonts w:asciiTheme="majorHAnsi" w:hAnsiTheme="majorHAnsi" w:cstheme="majorHAnsi"/>
          <w:b/>
          <w:bCs/>
          <w:color w:val="000000"/>
          <w:sz w:val="24"/>
          <w:szCs w:val="24"/>
          <w:lang w:val="en-GB"/>
        </w:rPr>
        <w:t xml:space="preserve">1 </w:t>
      </w:r>
      <w:r>
        <w:rPr>
          <w:rFonts w:asciiTheme="majorHAnsi" w:hAnsiTheme="majorHAnsi" w:cstheme="majorHAnsi"/>
          <w:b/>
          <w:bCs/>
          <w:color w:val="000000"/>
          <w:sz w:val="24"/>
          <w:szCs w:val="24"/>
          <w:lang w:val="en-GB"/>
        </w:rPr>
        <w:t>:</w:t>
      </w:r>
      <w:r w:rsidRPr="00AA3434">
        <w:rPr>
          <w:rFonts w:asciiTheme="majorHAnsi" w:hAnsiTheme="majorHAnsi" w:cstheme="majorHAnsi"/>
          <w:b/>
          <w:bCs/>
          <w:color w:val="000000"/>
          <w:sz w:val="24"/>
          <w:szCs w:val="24"/>
          <w:lang w:val="en-GB"/>
        </w:rPr>
        <w:t xml:space="preserve"> Cohort models and adjustment</w:t>
      </w:r>
    </w:p>
    <w:p w14:paraId="6DB345D8" w14:textId="0E7C2F8E" w:rsidR="00AA3434" w:rsidRDefault="00AA3434" w:rsidP="00AA3434">
      <w:pPr>
        <w:rPr>
          <w:lang w:val="en-GB"/>
        </w:rPr>
      </w:pPr>
      <w:r w:rsidRPr="00AA3434">
        <w:rPr>
          <w:lang w:val="en-GB"/>
        </w:rPr>
        <w:t xml:space="preserve">In a cohort design, the choice of covariates to include is critical to prevent bias due to residual confounding. </w:t>
      </w:r>
      <w:r>
        <w:rPr>
          <w:lang w:val="en-GB"/>
        </w:rPr>
        <w:t>As</w:t>
      </w:r>
      <w:r w:rsidRPr="00AA3434">
        <w:rPr>
          <w:lang w:val="en-GB"/>
        </w:rPr>
        <w:t xml:space="preserve"> no clear consensus</w:t>
      </w:r>
      <w:r>
        <w:rPr>
          <w:lang w:val="en-GB"/>
        </w:rPr>
        <w:t xml:space="preserve"> has emerged on</w:t>
      </w:r>
      <w:r w:rsidRPr="00AA3434">
        <w:rPr>
          <w:lang w:val="en-GB"/>
        </w:rPr>
        <w:t xml:space="preserve"> the demographical and environmental drivers of yellow fe</w:t>
      </w:r>
      <w:r>
        <w:rPr>
          <w:lang w:val="en-GB"/>
        </w:rPr>
        <w:t>ver,</w:t>
      </w:r>
      <w:r w:rsidRPr="00AA3434">
        <w:rPr>
          <w:lang w:val="en-GB"/>
        </w:rPr>
        <w:t xml:space="preserve"> </w:t>
      </w:r>
      <w:r>
        <w:rPr>
          <w:lang w:val="en-GB"/>
        </w:rPr>
        <w:t>w</w:t>
      </w:r>
      <w:r w:rsidRPr="00AA3434">
        <w:rPr>
          <w:lang w:val="en-GB"/>
        </w:rPr>
        <w:t>e considered two (partially overlapping) sets of covariates</w:t>
      </w:r>
      <w:r>
        <w:rPr>
          <w:lang w:val="en-GB"/>
        </w:rPr>
        <w:t xml:space="preserve"> that were previously used to reproduce the occurrence of yellow fever records in Africa at the province level</w:t>
      </w:r>
      <w:r w:rsidRPr="00AA3434">
        <w:rPr>
          <w:lang w:val="en-GB"/>
        </w:rPr>
        <w:t>.</w:t>
      </w:r>
      <w:r>
        <w:rPr>
          <w:lang w:val="en-GB"/>
        </w:rPr>
        <w:t xml:space="preserve"> The first model is a statistical model reproducing the spatial distribution of yellow fever records with no explicit aims at reproducing underlying biological processes. The second model is a mechanistic model that aimed at reproducing the spatial distribution of the disease while including these process</w:t>
      </w:r>
      <w:r w:rsidR="000B449B">
        <w:rPr>
          <w:lang w:val="en-GB"/>
        </w:rPr>
        <w:t>es</w:t>
      </w:r>
      <w:r>
        <w:rPr>
          <w:lang w:val="en-GB"/>
        </w:rPr>
        <w:t>, here the temperature-dependence</w:t>
      </w:r>
      <w:r w:rsidR="00CB749C">
        <w:rPr>
          <w:lang w:val="en-GB"/>
        </w:rPr>
        <w:t xml:space="preserve"> of the yellow fever virus cycle. </w:t>
      </w:r>
      <w:r w:rsidR="007F4287">
        <w:rPr>
          <w:lang w:val="en-GB"/>
        </w:rPr>
        <w:t xml:space="preserve">Variables included in each model are presented in Table </w:t>
      </w:r>
      <w:r w:rsidR="00570165">
        <w:rPr>
          <w:lang w:val="en-GB"/>
        </w:rPr>
        <w:t>S1</w:t>
      </w:r>
      <w:r w:rsidR="007F4287">
        <w:rPr>
          <w:lang w:val="en-GB"/>
        </w:rPr>
        <w:t xml:space="preserve">. </w:t>
      </w:r>
    </w:p>
    <w:p w14:paraId="2A5C8CDC" w14:textId="71362BB3" w:rsidR="00AA3434" w:rsidRDefault="00AA3434" w:rsidP="00AA3434">
      <w:pPr>
        <w:rPr>
          <w:lang w:val="en-GB"/>
        </w:rPr>
      </w:pPr>
    </w:p>
    <w:tbl>
      <w:tblPr>
        <w:tblStyle w:val="Grilledutableau"/>
        <w:tblW w:w="8238" w:type="dxa"/>
        <w:jc w:val="center"/>
        <w:tblLook w:val="04A0" w:firstRow="1" w:lastRow="0" w:firstColumn="1" w:lastColumn="0" w:noHBand="0" w:noVBand="1"/>
      </w:tblPr>
      <w:tblGrid>
        <w:gridCol w:w="2830"/>
        <w:gridCol w:w="2551"/>
        <w:gridCol w:w="1420"/>
        <w:gridCol w:w="1437"/>
      </w:tblGrid>
      <w:tr w:rsidR="00CB749C" w:rsidRPr="00A674EF" w14:paraId="190BC021" w14:textId="77777777" w:rsidTr="00971707">
        <w:trPr>
          <w:jc w:val="center"/>
        </w:trPr>
        <w:tc>
          <w:tcPr>
            <w:tcW w:w="2830" w:type="dxa"/>
          </w:tcPr>
          <w:p w14:paraId="132CC744" w14:textId="0529477F" w:rsidR="00CB749C" w:rsidRDefault="00CB749C" w:rsidP="00AA3434">
            <w:pPr>
              <w:rPr>
                <w:lang w:val="en-GB"/>
              </w:rPr>
            </w:pPr>
            <w:r>
              <w:rPr>
                <w:lang w:val="en-GB"/>
              </w:rPr>
              <w:t>Variable</w:t>
            </w:r>
          </w:p>
        </w:tc>
        <w:tc>
          <w:tcPr>
            <w:tcW w:w="2551" w:type="dxa"/>
          </w:tcPr>
          <w:p w14:paraId="37E53E2A" w14:textId="58711DD8" w:rsidR="00CB749C" w:rsidRDefault="00CB749C" w:rsidP="00AA3434">
            <w:pPr>
              <w:rPr>
                <w:lang w:val="en-GB"/>
              </w:rPr>
            </w:pPr>
            <w:r>
              <w:rPr>
                <w:lang w:val="en-GB"/>
              </w:rPr>
              <w:t>Data source</w:t>
            </w:r>
          </w:p>
        </w:tc>
        <w:tc>
          <w:tcPr>
            <w:tcW w:w="1420" w:type="dxa"/>
          </w:tcPr>
          <w:p w14:paraId="708EAF84" w14:textId="72361359" w:rsidR="00CB749C" w:rsidRDefault="00B740EF" w:rsidP="00AA3434">
            <w:pPr>
              <w:rPr>
                <w:lang w:val="en-GB"/>
              </w:rPr>
            </w:pPr>
            <w:r>
              <w:rPr>
                <w:lang w:val="en-GB"/>
              </w:rPr>
              <w:t>S</w:t>
            </w:r>
            <w:r w:rsidR="00CB749C">
              <w:rPr>
                <w:lang w:val="en-GB"/>
              </w:rPr>
              <w:t>tatistical model</w:t>
            </w:r>
            <w:r w:rsidR="007F4287">
              <w:rPr>
                <w:lang w:val="en-GB"/>
              </w:rPr>
              <w:t xml:space="preserve"> </w:t>
            </w:r>
            <w:r w:rsidR="007F4287">
              <w:rPr>
                <w:lang w:val="en-GB"/>
              </w:rPr>
              <w:fldChar w:fldCharType="begin"/>
            </w:r>
            <w:r w:rsidR="007F4287">
              <w:rPr>
                <w:lang w:val="en-GB"/>
              </w:rPr>
              <w:instrText xml:space="preserve"> ADDIN ZOTERO_ITEM CSL_CITATION {"citationID":"51qfV3gC","properties":{"formattedCitation":"[1]","plainCitation":"[1]","noteIndex":0},"citationItems":[{"id":2104,"uris":["http://zotero.org/users/431843/items/5PAPDNDH"],"uri":["http://zotero.org/users/431843/items/5PAPDNDH"],"itemData":{"id":2104,"type":"article-journal","abstract":"BACKGROUND: Yellow fever is a vector-borne disease affecting humans and non-human primates in tropical areas of Africa and South America. While eradication is not feasible due to the wildlife reservoir, large scale vaccination activities in Africa during the 1940s to 1960s reduced yellow fever incidence for several decades. However, after a period of low vaccination coverage, yellow fever has resurged in the continent. Since 2006 there has been substantial funding for large preventive mass vaccination campaigns in the most affected countries in Africa to curb the rising burden of disease and control future outbreaks. Contemporary estimates of the yellow fever disease burden are lacking, and the present study aimed to update the previous estimates on the basis of more recent yellow fever occurrence data and improved estimation methods.\nMETHODS AND FINDINGS: Generalised linear regression models were fitted to a dataset of the locations of yellow fever outbreaks within the last 25 years to estimate the probability of outbreak reports across the endemic zone. Environmental variables and indicators for the surveillance quality in the affected countries were used as covariates. By comparing probabilities of outbreak reports estimated in the regression with the force of infection estimated for a limited set of locations for which serological surveys were available, the detection probability per case and the force of infection were estimated across the endemic zone. The yellow fever burden in Africa was estimated for the year 2013 as 130,000 (95% CI 51,000-380,000) cases with fever and jaundice or haemorrhage including 78,000 (95% CI 19,000-180,000) deaths, taking into account the current level of vaccination coverage. The impact of the recent mass vaccination campaigns was assessed by evaluating the difference between the estimates obtained for the current vaccination coverage and for a hypothetical scenario excluding these vaccination campaigns. Vaccination campaigns were estimated to have reduced the number of cases and deaths by 27% (95% CI 22%-31%) across the region, achieving up to an 82% reduction in countries targeted by these campaigns. A limitation of our study is the high level of uncertainty in our estimates arising from the sparseness of data available from both surveillance and serological surveys.\nCONCLUSIONS: With the estimation method presented here, spatial estimates of transmission intensity can be combined with vaccination coverage levels to evaluate the impact of past or proposed vaccination campaigns, thereby helping to allocate resources efficiently for yellow fever control. This method has been used by the Global Alliance for Vaccines and Immunization (GAVI Alliance) to estimate the potential impact of future vaccination campaigns.","container-title":"PLoS medicine","DOI":"10.1371/journal.pmed.1001638","ISSN":"1549-1676","issue":"5","journalAbbreviation":"PLoS Med.","language":"eng","note":"PMID: 24800812\nPMCID: PMC4011853","page":"e1001638","source":"PubMed","title":"Yellow Fever in Africa: estimating the burden of disease and impact of mass vaccination from outbreak and serological data","title-short":"Yellow Fever in Africa","volume":"11","author":[{"family":"Garske","given":"Tini"},{"family":"Van Kerkhove","given":"Maria D."},{"family":"Yactayo","given":"Sergio"},{"family":"Ronveaux","given":"Olivier"},{"family":"Lewis","given":"Rosamund F."},{"family":"Staples","given":"J. Erin"},{"family":"Perea","given":"William"},{"family":"Ferguson","given":"Neil M."},{"literal":"Yellow Fever Expert Committee"}],"issued":{"date-parts":[["2014",5]]}}}],"schema":"https://github.com/citation-style-language/schema/raw/master/csl-citation.json"} </w:instrText>
            </w:r>
            <w:r w:rsidR="007F4287">
              <w:rPr>
                <w:lang w:val="en-GB"/>
              </w:rPr>
              <w:fldChar w:fldCharType="separate"/>
            </w:r>
            <w:r w:rsidR="007F4287" w:rsidRPr="007F4287">
              <w:rPr>
                <w:rFonts w:ascii="Calibri" w:hAnsi="Calibri" w:cs="Calibri"/>
              </w:rPr>
              <w:t>[1]</w:t>
            </w:r>
            <w:r w:rsidR="007F4287">
              <w:rPr>
                <w:lang w:val="en-GB"/>
              </w:rPr>
              <w:fldChar w:fldCharType="end"/>
            </w:r>
          </w:p>
        </w:tc>
        <w:tc>
          <w:tcPr>
            <w:tcW w:w="1437" w:type="dxa"/>
          </w:tcPr>
          <w:p w14:paraId="2CF04820" w14:textId="330A94A0" w:rsidR="00CB749C" w:rsidRDefault="00B740EF" w:rsidP="00AA3434">
            <w:pPr>
              <w:rPr>
                <w:lang w:val="en-GB"/>
              </w:rPr>
            </w:pPr>
            <w:r>
              <w:rPr>
                <w:lang w:val="en-GB"/>
              </w:rPr>
              <w:t>Mechanistic</w:t>
            </w:r>
            <w:r w:rsidR="00CB749C">
              <w:rPr>
                <w:lang w:val="en-GB"/>
              </w:rPr>
              <w:t xml:space="preserve"> model</w:t>
            </w:r>
            <w:r w:rsidR="007F4287">
              <w:rPr>
                <w:lang w:val="en-GB"/>
              </w:rPr>
              <w:t xml:space="preserve"> </w:t>
            </w:r>
            <w:r w:rsidR="007F4287">
              <w:rPr>
                <w:lang w:val="en-GB"/>
              </w:rPr>
              <w:fldChar w:fldCharType="begin"/>
            </w:r>
            <w:r w:rsidR="007F4287">
              <w:rPr>
                <w:lang w:val="en-GB"/>
              </w:rPr>
              <w:instrText xml:space="preserve"> ADDIN ZOTERO_ITEM CSL_CITATION {"citationID":"FkLp8hUJ","properties":{"formattedCitation":"[2]","plainCitation":"[2]","noteIndex":0},"citationItems":[{"id":1879,"uris":["http://zotero.org/users/431843/items/IKSNZJQU"],"uri":["http://zotero.org/users/431843/items/IKSNZJQU"],"itemData":{"id":1879,"type":"article-journal","abstract":"Background Yellow fever virus (YFV) is a vector-borne flavivirus endemic to Africa and Latin America. Ninety per cent of the global burden occurs in Africa where it is primarily transmitted by Aedes spp, with Aedes aegypti the main vector for urban yellow fever (YF). Mosquito life cycle and viral replication in the mosquito are heavily dependent on climate, particularly temperature and rainfall. We aimed to assess whether seasonal variations in climatic factors are associated with the seasonality of YF reports. Methodology/Principal findings We constructed a temperature suitability index for YFV transmission, capturing the temperature dependence of mosquito behaviour and viral replication within the mosquito. We then fitted a series of multilevel logistic regression models to a dataset of YF reports across Africa, considering location and seasonality of occurrence for seasonal models, against the temperature suitability index, rainfall and the Enhanced Vegetation Index (EVI) as covariates alongside further demographic indicators. Model fit was assessed by the Area Under the Curve (AUC), and models were ranked by Akaike’s Information Criterion which was used to weight model outputs to create combined model predictions. The seasonal model accurately captured both the geographic and temporal heterogeneities in YF transmission (AUC = 0.81), and did not perform significantly worse than the annual model which only captured the geographic distribution. The interaction between temperature suitability and rainfall accounted for much of the occurrence of YF, which offers a statistical explanation for the spatio-temporal variability in transmission. Conclusions/Significance The description of seasonality offers an explanation for heterogeneities in the West-East YF burden across Africa. Annual climatic variables may indicate a transmission suitability not always reflected in seasonal interactions. This finding, in conjunction with forecasted data, could highlight areas of increased transmission and provide insights into the occurrence of large outbreaks, such as those seen in Angola, the Democratic Republic of the Congo and Brazil.","container-title":"PLOS Neglected Tropical Diseases","DOI":"10.1371/journal.pntd.0006284","ISSN":"1935-2735","issue":"3","journalAbbreviation":"PLOS Neglected Tropical Diseases","language":"en","page":"e0006284","source":"PLoS Journals","title":"The seasonal influence of climate and environment on yellow fever transmission across Africa","volume":"12","author":[{"family":"Hamlet","given":"Arran"},{"family":"Jean","given":"Kévin"},{"family":"Perea","given":"William"},{"family":"Yactayo","given":"Sergio"},{"family":"Biey","given":"Joseph"},{"family":"Kerkhove","given":"Maria Van"},{"family":"Ferguson","given":"Neil"},{"family":"Garske","given":"Tini"}],"issued":{"date-parts":[["2018",3,15]]}}}],"schema":"https://github.com/citation-style-language/schema/raw/master/csl-citation.json"} </w:instrText>
            </w:r>
            <w:r w:rsidR="007F4287">
              <w:rPr>
                <w:lang w:val="en-GB"/>
              </w:rPr>
              <w:fldChar w:fldCharType="separate"/>
            </w:r>
            <w:r w:rsidR="007F4287" w:rsidRPr="006C382E">
              <w:rPr>
                <w:rFonts w:ascii="Calibri" w:hAnsi="Calibri" w:cs="Calibri"/>
                <w:lang w:val="en-GB"/>
              </w:rPr>
              <w:t>[2]</w:t>
            </w:r>
            <w:r w:rsidR="007F4287">
              <w:rPr>
                <w:lang w:val="en-GB"/>
              </w:rPr>
              <w:fldChar w:fldCharType="end"/>
            </w:r>
          </w:p>
        </w:tc>
      </w:tr>
      <w:tr w:rsidR="00CB749C" w:rsidRPr="00A674EF" w14:paraId="2D3A74B8" w14:textId="77777777" w:rsidTr="00971707">
        <w:trPr>
          <w:jc w:val="center"/>
        </w:trPr>
        <w:tc>
          <w:tcPr>
            <w:tcW w:w="2830" w:type="dxa"/>
          </w:tcPr>
          <w:p w14:paraId="72D676EB" w14:textId="72C12278" w:rsidR="00CB749C" w:rsidRDefault="00CB749C" w:rsidP="00AA3434">
            <w:pPr>
              <w:rPr>
                <w:lang w:val="en-GB"/>
              </w:rPr>
            </w:pPr>
            <w:r w:rsidRPr="00B740EF">
              <w:rPr>
                <w:b/>
                <w:lang w:val="en-GB"/>
              </w:rPr>
              <w:t>Human population size</w:t>
            </w:r>
            <w:r>
              <w:rPr>
                <w:lang w:val="en-GB"/>
              </w:rPr>
              <w:t xml:space="preserve"> (log-transformed)</w:t>
            </w:r>
          </w:p>
        </w:tc>
        <w:tc>
          <w:tcPr>
            <w:tcW w:w="2551" w:type="dxa"/>
          </w:tcPr>
          <w:p w14:paraId="289D19C5" w14:textId="47648CE9" w:rsidR="00CB749C" w:rsidRDefault="009C612F" w:rsidP="00AA3434">
            <w:pPr>
              <w:rPr>
                <w:lang w:val="en-GB"/>
              </w:rPr>
            </w:pPr>
            <w:r>
              <w:rPr>
                <w:lang w:val="en-GB"/>
              </w:rPr>
              <w:fldChar w:fldCharType="begin"/>
            </w:r>
            <w:r w:rsidR="007F4287">
              <w:rPr>
                <w:lang w:val="en-GB"/>
              </w:rPr>
              <w:instrText xml:space="preserve"> ADDIN ZOTERO_ITEM CSL_CITATION {"citationID":"t4kcmQoS","properties":{"formattedCitation":"[3,4]","plainCitation":"[3,4]","noteIndex":0},"citationItems":[{"id":1267,"uris":["http://zotero.org/users/431843/items/SV29DPW8"],"uri":["http://zotero.org/users/431843/items/SV29DPW8"],"itemData":{"id":1267,"type":"webpage","title":"World Population Prospects, the 2015 Revision","URL":"https://esa.un.org/unpd/wpp/","author":[{"family":"United Nations, Department of Economic and Social Affairs, Population Division, Population Estimates and Projections Section","given":""}],"accessed":{"date-parts":[["2016",7,14]]},"issued":{"date-parts":[["2015"]]}}},{"id":4449,"uris":["http://zotero.org/users/431843/items/4I8JCFQU"],"uri":["http://zotero.org/users/431843/items/4I8JCFQU"],"itemData":{"id":4449,"type":"article-journal","container-title":"Photogramm Eng Remote Sens.","issue":"7","page":"849-857","title":"LandScan: A global population database for estimating populations at risk.","volume":"66","author":[{"family":"Dobson","given":"J"},{"family":"Bright","given":"E"},{"family":"Coleman","given":"P"},{"family":"Durfee","given":"R"},{"family":"Worley","given":"B"}],"issued":{"date-parts":[["2000"]]}}}],"schema":"https://github.com/citation-style-language/schema/raw/master/csl-citation.json"} </w:instrText>
            </w:r>
            <w:r>
              <w:rPr>
                <w:lang w:val="en-GB"/>
              </w:rPr>
              <w:fldChar w:fldCharType="separate"/>
            </w:r>
            <w:r w:rsidR="007F4287" w:rsidRPr="006C382E">
              <w:rPr>
                <w:rFonts w:ascii="Calibri" w:hAnsi="Calibri" w:cs="Calibri"/>
                <w:lang w:val="en-GB"/>
              </w:rPr>
              <w:t>[3,4]</w:t>
            </w:r>
            <w:r>
              <w:rPr>
                <w:lang w:val="en-GB"/>
              </w:rPr>
              <w:fldChar w:fldCharType="end"/>
            </w:r>
          </w:p>
        </w:tc>
        <w:tc>
          <w:tcPr>
            <w:tcW w:w="1420" w:type="dxa"/>
          </w:tcPr>
          <w:p w14:paraId="2DF272E9" w14:textId="76544A08" w:rsidR="00CB749C" w:rsidRDefault="00CB749C" w:rsidP="00AA3434">
            <w:pPr>
              <w:rPr>
                <w:lang w:val="en-GB"/>
              </w:rPr>
            </w:pPr>
            <w:r>
              <w:rPr>
                <w:lang w:val="en-GB"/>
              </w:rPr>
              <w:t>X</w:t>
            </w:r>
          </w:p>
        </w:tc>
        <w:tc>
          <w:tcPr>
            <w:tcW w:w="1437" w:type="dxa"/>
          </w:tcPr>
          <w:p w14:paraId="492F0E0A" w14:textId="4D6E639C" w:rsidR="00CB749C" w:rsidRDefault="00CB749C" w:rsidP="00AA3434">
            <w:pPr>
              <w:rPr>
                <w:lang w:val="en-GB"/>
              </w:rPr>
            </w:pPr>
            <w:r>
              <w:rPr>
                <w:lang w:val="en-GB"/>
              </w:rPr>
              <w:t>X</w:t>
            </w:r>
          </w:p>
        </w:tc>
      </w:tr>
      <w:tr w:rsidR="00CB749C" w:rsidRPr="009C612F" w14:paraId="6F864F79" w14:textId="77777777" w:rsidTr="00971707">
        <w:trPr>
          <w:jc w:val="center"/>
        </w:trPr>
        <w:tc>
          <w:tcPr>
            <w:tcW w:w="2830" w:type="dxa"/>
          </w:tcPr>
          <w:p w14:paraId="369C7D94" w14:textId="7D60FF40" w:rsidR="00CB749C" w:rsidRDefault="00CB749C" w:rsidP="00B740EF">
            <w:pPr>
              <w:rPr>
                <w:lang w:val="en-GB"/>
              </w:rPr>
            </w:pPr>
            <w:r w:rsidRPr="00B740EF">
              <w:rPr>
                <w:b/>
                <w:lang w:val="en-GB"/>
              </w:rPr>
              <w:t>Proxy for surveillance quality</w:t>
            </w:r>
            <w:r w:rsidR="00B740EF">
              <w:rPr>
                <w:lang w:val="en-GB"/>
              </w:rPr>
              <w:t>: country-level per capita rate of reporting suspected cases of fever and jaundice</w:t>
            </w:r>
          </w:p>
        </w:tc>
        <w:tc>
          <w:tcPr>
            <w:tcW w:w="2551" w:type="dxa"/>
          </w:tcPr>
          <w:p w14:paraId="2C8A5C3A" w14:textId="3AD0D8AA" w:rsidR="00CB749C" w:rsidRPr="00B740EF" w:rsidRDefault="00847EB3" w:rsidP="00AA3434">
            <w:pPr>
              <w:rPr>
                <w:lang w:val="en-GB"/>
              </w:rPr>
            </w:pPr>
            <w:r w:rsidRPr="00B740EF">
              <w:rPr>
                <w:lang w:val="en-GB"/>
              </w:rPr>
              <w:t>Yellow Fever Surveillance Database</w:t>
            </w:r>
            <w:r w:rsidR="00B740EF" w:rsidRPr="00B740EF">
              <w:rPr>
                <w:lang w:val="en-GB"/>
              </w:rPr>
              <w:t>, surveillance database established by the African Regional Office of WHO</w:t>
            </w:r>
          </w:p>
        </w:tc>
        <w:tc>
          <w:tcPr>
            <w:tcW w:w="1420" w:type="dxa"/>
          </w:tcPr>
          <w:p w14:paraId="5300DF28" w14:textId="41F6917F" w:rsidR="00CB749C" w:rsidRDefault="00B740EF" w:rsidP="00AA3434">
            <w:pPr>
              <w:rPr>
                <w:lang w:val="en-GB"/>
              </w:rPr>
            </w:pPr>
            <w:r>
              <w:rPr>
                <w:lang w:val="en-GB"/>
              </w:rPr>
              <w:t>X</w:t>
            </w:r>
          </w:p>
        </w:tc>
        <w:tc>
          <w:tcPr>
            <w:tcW w:w="1437" w:type="dxa"/>
          </w:tcPr>
          <w:p w14:paraId="637DE350" w14:textId="2B388430" w:rsidR="00CB749C" w:rsidRDefault="00B740EF" w:rsidP="00AA3434">
            <w:pPr>
              <w:rPr>
                <w:lang w:val="en-GB"/>
              </w:rPr>
            </w:pPr>
            <w:r>
              <w:rPr>
                <w:lang w:val="en-GB"/>
              </w:rPr>
              <w:t>X</w:t>
            </w:r>
          </w:p>
        </w:tc>
      </w:tr>
      <w:tr w:rsidR="00CB749C" w:rsidRPr="009C612F" w14:paraId="4B998519" w14:textId="77777777" w:rsidTr="00971707">
        <w:trPr>
          <w:jc w:val="center"/>
        </w:trPr>
        <w:tc>
          <w:tcPr>
            <w:tcW w:w="2830" w:type="dxa"/>
          </w:tcPr>
          <w:p w14:paraId="0EA3C5E1" w14:textId="5F69DA26" w:rsidR="00CB749C" w:rsidRPr="00B740EF" w:rsidRDefault="00CB749C" w:rsidP="00AA3434">
            <w:pPr>
              <w:rPr>
                <w:b/>
                <w:lang w:val="en-GB"/>
              </w:rPr>
            </w:pPr>
            <w:r w:rsidRPr="00B740EF">
              <w:rPr>
                <w:b/>
                <w:lang w:val="en-GB"/>
              </w:rPr>
              <w:t>Longitude</w:t>
            </w:r>
          </w:p>
        </w:tc>
        <w:tc>
          <w:tcPr>
            <w:tcW w:w="2551" w:type="dxa"/>
          </w:tcPr>
          <w:p w14:paraId="3BEAF206" w14:textId="15225430" w:rsidR="00CB749C" w:rsidRDefault="00847EB3" w:rsidP="00AA3434">
            <w:pPr>
              <w:rPr>
                <w:lang w:val="en-GB"/>
              </w:rPr>
            </w:pPr>
            <w:r>
              <w:rPr>
                <w:lang w:val="en-GB"/>
              </w:rPr>
              <w:fldChar w:fldCharType="begin"/>
            </w:r>
            <w:r w:rsidR="007F4287">
              <w:rPr>
                <w:lang w:val="en-GB"/>
              </w:rPr>
              <w:instrText xml:space="preserve"> ADDIN ZOTERO_ITEM CSL_CITATION {"citationID":"eRRG3HMJ","properties":{"formattedCitation":"[5]","plainCitation":"[5]","noteIndex":0},"citationItems":[{"id":1238,"uris":["http://zotero.org/users/431843/items/4NKVAHZ2"],"uri":["http://zotero.org/users/431843/items/4NKVAHZ2"],"itemData":{"id":1238,"type":"webpage","title":"Global Administrative Areas | Boundaries without limits","URL":"http://www.gadm.org/","accessed":{"date-parts":[["2016",9,20]]}}}],"schema":"https://github.com/citation-style-language/schema/raw/master/csl-citation.json"} </w:instrText>
            </w:r>
            <w:r>
              <w:rPr>
                <w:lang w:val="en-GB"/>
              </w:rPr>
              <w:fldChar w:fldCharType="separate"/>
            </w:r>
            <w:r w:rsidR="007F4287" w:rsidRPr="007F4287">
              <w:rPr>
                <w:rFonts w:ascii="Calibri" w:hAnsi="Calibri" w:cs="Calibri"/>
              </w:rPr>
              <w:t>[5]</w:t>
            </w:r>
            <w:r>
              <w:rPr>
                <w:lang w:val="en-GB"/>
              </w:rPr>
              <w:fldChar w:fldCharType="end"/>
            </w:r>
          </w:p>
        </w:tc>
        <w:tc>
          <w:tcPr>
            <w:tcW w:w="1420" w:type="dxa"/>
          </w:tcPr>
          <w:p w14:paraId="3F53AD3E" w14:textId="3233F11E" w:rsidR="00CB749C" w:rsidRDefault="00B740EF" w:rsidP="00AA3434">
            <w:pPr>
              <w:rPr>
                <w:lang w:val="en-GB"/>
              </w:rPr>
            </w:pPr>
            <w:r>
              <w:rPr>
                <w:lang w:val="en-GB"/>
              </w:rPr>
              <w:t>X</w:t>
            </w:r>
          </w:p>
        </w:tc>
        <w:tc>
          <w:tcPr>
            <w:tcW w:w="1437" w:type="dxa"/>
          </w:tcPr>
          <w:p w14:paraId="0829EDEE" w14:textId="77777777" w:rsidR="00CB749C" w:rsidRDefault="00CB749C" w:rsidP="00AA3434">
            <w:pPr>
              <w:rPr>
                <w:lang w:val="en-GB"/>
              </w:rPr>
            </w:pPr>
          </w:p>
        </w:tc>
      </w:tr>
      <w:tr w:rsidR="00CB749C" w:rsidRPr="009C612F" w14:paraId="4866B682" w14:textId="77777777" w:rsidTr="00971707">
        <w:trPr>
          <w:jc w:val="center"/>
        </w:trPr>
        <w:tc>
          <w:tcPr>
            <w:tcW w:w="2830" w:type="dxa"/>
          </w:tcPr>
          <w:p w14:paraId="5B93EE6A" w14:textId="018D0618" w:rsidR="00CB749C" w:rsidRPr="00B740EF" w:rsidRDefault="00CB749C" w:rsidP="00AA3434">
            <w:pPr>
              <w:rPr>
                <w:b/>
                <w:lang w:val="en-GB"/>
              </w:rPr>
            </w:pPr>
            <w:r w:rsidRPr="00B740EF">
              <w:rPr>
                <w:b/>
                <w:lang w:val="en-GB"/>
              </w:rPr>
              <w:t>Land cover type</w:t>
            </w:r>
          </w:p>
        </w:tc>
        <w:tc>
          <w:tcPr>
            <w:tcW w:w="2551" w:type="dxa"/>
          </w:tcPr>
          <w:p w14:paraId="552E4CA5" w14:textId="23E9EA05" w:rsidR="00CB749C" w:rsidRDefault="009C612F" w:rsidP="00AA3434">
            <w:pPr>
              <w:rPr>
                <w:lang w:val="en-GB"/>
              </w:rPr>
            </w:pPr>
            <w:r>
              <w:rPr>
                <w:lang w:val="en-GB"/>
              </w:rPr>
              <w:fldChar w:fldCharType="begin"/>
            </w:r>
            <w:r w:rsidR="007F4287">
              <w:rPr>
                <w:lang w:val="en-GB"/>
              </w:rPr>
              <w:instrText xml:space="preserve"> ADDIN ZOTERO_ITEM CSL_CITATION {"citationID":"PBKxlE6x","properties":{"formattedCitation":"[6]","plainCitation":"[6]","noteIndex":0},"citationItems":[{"id":2053,"uris":["http://zotero.org/users/431843/items/IFUSW5CQ"],"uri":["http://zotero.org/users/431843/items/IFUSW5CQ"],"itemData":{"id":2053,"type":"report","event-place":"Sioux Falls, South Dakota","publisher":"USGS/Earth Resources Observation and Science (EROS) Center,","publisher-place":"Sioux Falls, South Dakota","title":"Land Cover Type Yearly L3 Global 1 km SINGrid (12Q1).","URL":"http://lpdaac.usgs.gov/get_data","author":[{"family":"NASA Land Processes Distributed Active Archive Center (LP DAAC)","given":""}],"accessed":{"date-parts":[["2012",7,13]]}}}],"schema":"https://github.com/citation-style-language/schema/raw/master/csl-citation.json"} </w:instrText>
            </w:r>
            <w:r>
              <w:rPr>
                <w:lang w:val="en-GB"/>
              </w:rPr>
              <w:fldChar w:fldCharType="separate"/>
            </w:r>
            <w:r w:rsidR="007F4287" w:rsidRPr="007F4287">
              <w:rPr>
                <w:rFonts w:ascii="Calibri" w:hAnsi="Calibri" w:cs="Calibri"/>
              </w:rPr>
              <w:t>[6]</w:t>
            </w:r>
            <w:r>
              <w:rPr>
                <w:lang w:val="en-GB"/>
              </w:rPr>
              <w:fldChar w:fldCharType="end"/>
            </w:r>
          </w:p>
        </w:tc>
        <w:tc>
          <w:tcPr>
            <w:tcW w:w="1420" w:type="dxa"/>
          </w:tcPr>
          <w:p w14:paraId="6C3F449C" w14:textId="28D18D79" w:rsidR="00CB749C" w:rsidRDefault="00B740EF" w:rsidP="00AA3434">
            <w:pPr>
              <w:rPr>
                <w:lang w:val="en-GB"/>
              </w:rPr>
            </w:pPr>
            <w:r>
              <w:rPr>
                <w:lang w:val="en-GB"/>
              </w:rPr>
              <w:t>X</w:t>
            </w:r>
          </w:p>
        </w:tc>
        <w:tc>
          <w:tcPr>
            <w:tcW w:w="1437" w:type="dxa"/>
          </w:tcPr>
          <w:p w14:paraId="5237F960" w14:textId="3CCE79AA" w:rsidR="00CB749C" w:rsidRDefault="00CB749C" w:rsidP="00AA3434">
            <w:pPr>
              <w:rPr>
                <w:lang w:val="en-GB"/>
              </w:rPr>
            </w:pPr>
          </w:p>
        </w:tc>
      </w:tr>
      <w:tr w:rsidR="00CB749C" w:rsidRPr="009C612F" w14:paraId="29E39970" w14:textId="77777777" w:rsidTr="00971707">
        <w:trPr>
          <w:jc w:val="center"/>
        </w:trPr>
        <w:tc>
          <w:tcPr>
            <w:tcW w:w="2830" w:type="dxa"/>
          </w:tcPr>
          <w:p w14:paraId="277482E1" w14:textId="3FD92FDA" w:rsidR="00CB749C" w:rsidRDefault="00CB749C" w:rsidP="00AA3434">
            <w:pPr>
              <w:rPr>
                <w:lang w:val="en-GB"/>
              </w:rPr>
            </w:pPr>
            <w:r w:rsidRPr="009C612F">
              <w:rPr>
                <w:b/>
                <w:lang w:val="en-GB"/>
              </w:rPr>
              <w:t>Enhanced Vegetation Index</w:t>
            </w:r>
            <w:r w:rsidR="009C612F" w:rsidRPr="009C612F">
              <w:rPr>
                <w:b/>
                <w:lang w:val="en-GB"/>
              </w:rPr>
              <w:t>:</w:t>
            </w:r>
            <w:r w:rsidR="009C612F">
              <w:rPr>
                <w:lang w:val="en-GB"/>
              </w:rPr>
              <w:t xml:space="preserve"> optimised remote-sensing measure of vegetation</w:t>
            </w:r>
          </w:p>
        </w:tc>
        <w:tc>
          <w:tcPr>
            <w:tcW w:w="2551" w:type="dxa"/>
          </w:tcPr>
          <w:p w14:paraId="3BCDA98F" w14:textId="52A72A8B" w:rsidR="00CB749C" w:rsidRDefault="009C612F" w:rsidP="00AA3434">
            <w:pPr>
              <w:rPr>
                <w:lang w:val="en-GB"/>
              </w:rPr>
            </w:pPr>
            <w:r>
              <w:rPr>
                <w:lang w:val="en-GB"/>
              </w:rPr>
              <w:fldChar w:fldCharType="begin"/>
            </w:r>
            <w:r w:rsidR="007F4287">
              <w:rPr>
                <w:lang w:val="en-GB"/>
              </w:rPr>
              <w:instrText xml:space="preserve"> ADDIN ZOTERO_ITEM CSL_CITATION {"citationID":"hQIMWkOB","properties":{"formattedCitation":"[7]","plainCitation":"[7]","noteIndex":0},"citationItems":[{"id":2052,"uris":["http://zotero.org/users/431843/items/46IQMZZ9"],"uri":["http://zotero.org/users/431843/items/46IQMZZ9"],"itemData":{"id":2052,"type":"report","event-place":"Sioux Falls, South Dakota","publisher":"USGS/Earth Resources Observation and Science (EROS) Center,","publisher-place":"Sioux Falls, South Dakota","title":"Vegetation Indices 16-Day L3 Global 1 km (13A2).","URL":"http://lpdaac.usgs.gov/get_data","author":[{"family":"NASA Land Processes Distributed Active Archive Center (LP DAAC)","given":""}],"accessed":{"date-parts":[["2012",7,13]]}}}],"schema":"https://github.com/citation-style-language/schema/raw/master/csl-citation.json"} </w:instrText>
            </w:r>
            <w:r>
              <w:rPr>
                <w:lang w:val="en-GB"/>
              </w:rPr>
              <w:fldChar w:fldCharType="separate"/>
            </w:r>
            <w:r w:rsidR="007F4287" w:rsidRPr="007F4287">
              <w:rPr>
                <w:rFonts w:ascii="Calibri" w:hAnsi="Calibri" w:cs="Calibri"/>
              </w:rPr>
              <w:t>[7]</w:t>
            </w:r>
            <w:r>
              <w:rPr>
                <w:lang w:val="en-GB"/>
              </w:rPr>
              <w:fldChar w:fldCharType="end"/>
            </w:r>
          </w:p>
        </w:tc>
        <w:tc>
          <w:tcPr>
            <w:tcW w:w="1420" w:type="dxa"/>
          </w:tcPr>
          <w:p w14:paraId="5BEEB926" w14:textId="581E47EC" w:rsidR="00CB749C" w:rsidRDefault="00B740EF" w:rsidP="00AA3434">
            <w:pPr>
              <w:rPr>
                <w:lang w:val="en-GB"/>
              </w:rPr>
            </w:pPr>
            <w:r>
              <w:rPr>
                <w:lang w:val="en-GB"/>
              </w:rPr>
              <w:t>X</w:t>
            </w:r>
          </w:p>
        </w:tc>
        <w:tc>
          <w:tcPr>
            <w:tcW w:w="1437" w:type="dxa"/>
          </w:tcPr>
          <w:p w14:paraId="7041DDB7" w14:textId="1CBA086C" w:rsidR="00CB749C" w:rsidRDefault="00B740EF" w:rsidP="00AA3434">
            <w:pPr>
              <w:rPr>
                <w:lang w:val="en-GB"/>
              </w:rPr>
            </w:pPr>
            <w:r>
              <w:rPr>
                <w:lang w:val="en-GB"/>
              </w:rPr>
              <w:t>X</w:t>
            </w:r>
          </w:p>
        </w:tc>
      </w:tr>
      <w:tr w:rsidR="00CB749C" w:rsidRPr="009C612F" w14:paraId="3932D307" w14:textId="77777777" w:rsidTr="00971707">
        <w:trPr>
          <w:jc w:val="center"/>
        </w:trPr>
        <w:tc>
          <w:tcPr>
            <w:tcW w:w="2830" w:type="dxa"/>
          </w:tcPr>
          <w:p w14:paraId="1B821D28" w14:textId="0F9B6F1C" w:rsidR="00CB749C" w:rsidRPr="00B740EF" w:rsidRDefault="00B740EF" w:rsidP="00AA3434">
            <w:pPr>
              <w:rPr>
                <w:b/>
                <w:lang w:val="en-GB"/>
              </w:rPr>
            </w:pPr>
            <w:r w:rsidRPr="00B740EF">
              <w:rPr>
                <w:b/>
                <w:lang w:val="en-GB"/>
              </w:rPr>
              <w:t>Rainfall</w:t>
            </w:r>
          </w:p>
        </w:tc>
        <w:tc>
          <w:tcPr>
            <w:tcW w:w="2551" w:type="dxa"/>
          </w:tcPr>
          <w:p w14:paraId="69A5353C" w14:textId="1D0EA89D" w:rsidR="00CB749C" w:rsidRDefault="00B740EF" w:rsidP="00AA3434">
            <w:pPr>
              <w:rPr>
                <w:lang w:val="en-GB"/>
              </w:rPr>
            </w:pPr>
            <w:r>
              <w:rPr>
                <w:lang w:val="en-GB"/>
              </w:rPr>
              <w:fldChar w:fldCharType="begin"/>
            </w:r>
            <w:r w:rsidR="007F4287">
              <w:rPr>
                <w:lang w:val="en-GB"/>
              </w:rPr>
              <w:instrText xml:space="preserve"> ADDIN ZOTERO_ITEM CSL_CITATION {"citationID":"YI7QGENY","properties":{"formattedCitation":"[8]","plainCitation":"[8]","noteIndex":0},"citationItems":[{"id":4451,"uris":["http://zotero.org/users/431843/items/WMLGHR5V"],"uri":["http://zotero.org/users/431843/items/WMLGHR5V"],"itemData":{"id":4451,"type":"article-journal","abstract":"An algorithm is developed to construct global gridded fields of monthly precipitation by merging estimates from five sources of information with different characteristics, including gauge-based monthly analyses from the Global Precipitation Climatology Centre, three types of satellite estimates [the infrared-based GOES Precipitation Index, the microwave (MW) scattering-based Grody, and the MW emission-based Chang estimates], and predictions produced by the operational forecast model of the European Centre for Medium-Range Weather Forecasts. A two-step strategy is used to: 1) reduce the random error found in the individual sources and 2) reduce the bias of the combined analysis. First, the three satellite-based estimates and the model predictions are combined linearly based on a maximum likelihood estimate, in which the weighting coefficients are inversely proportional to the squares of the individual random errors determined by comparison with gauge observations and subjective assumptions. This combined analysis is then blended with an analysis based on gauge observations using a method that presumes that the bias of the gauge-based field is small where sufficient gauges are available and that the gradient of the precipitation field is best represented by the combination of satellite estimates and model predictions elsewhere. The algorithm is applied to produce monthly precipitation analyses for an 18-month period from July 1987 to December 1988. Results showed substantial improvements of the merged analysis relative to the individual sources in describing the global precipitation field. The large-scale spatial patterns, both in the Tropics and the extratropics, are well represented with reasonable amplitudes. Both the random error and the bias have been reduced compared to the individual data sources, and the merged analysis appears to be of reasonable quality everywhere. However, the actual quality of the merged analysis depends strongly on our uncertain and incomplete knowledge of the error structures of the individual data sources.","container-title":"Journal of Climate","DOI":"10.1175/1520-0442(1996)009&lt;0840:AOGMPU&gt;2.0.CO;2","ISSN":"0894-8755","issue":"4","journalAbbreviation":"J. Climate","note":"publisher: American Meteorological Society","page":"840-858","source":"journals.ametsoc.org (Atypon)","title":"Analyses of Global Monthly Precipitation Using Gauge Observations, Satellite Estimates, and Numerical Model Predictions","volume":"9","author":[{"family":"Xie","given":"Pingping"},{"family":"Arkin","given":"Phillip A."}],"issued":{"date-parts":[["1996",4,1]]}}}],"schema":"https://github.com/citation-style-language/schema/raw/master/csl-citation.json"} </w:instrText>
            </w:r>
            <w:r>
              <w:rPr>
                <w:lang w:val="en-GB"/>
              </w:rPr>
              <w:fldChar w:fldCharType="separate"/>
            </w:r>
            <w:r w:rsidR="007F4287" w:rsidRPr="007F4287">
              <w:rPr>
                <w:rFonts w:ascii="Calibri" w:hAnsi="Calibri" w:cs="Calibri"/>
              </w:rPr>
              <w:t>[8]</w:t>
            </w:r>
            <w:r>
              <w:rPr>
                <w:lang w:val="en-GB"/>
              </w:rPr>
              <w:fldChar w:fldCharType="end"/>
            </w:r>
          </w:p>
        </w:tc>
        <w:tc>
          <w:tcPr>
            <w:tcW w:w="1420" w:type="dxa"/>
          </w:tcPr>
          <w:p w14:paraId="01F8375C" w14:textId="77777777" w:rsidR="00CB749C" w:rsidRDefault="00CB749C" w:rsidP="00AA3434">
            <w:pPr>
              <w:rPr>
                <w:lang w:val="en-GB"/>
              </w:rPr>
            </w:pPr>
          </w:p>
        </w:tc>
        <w:tc>
          <w:tcPr>
            <w:tcW w:w="1437" w:type="dxa"/>
          </w:tcPr>
          <w:p w14:paraId="2A7081DD" w14:textId="59022B89" w:rsidR="00CB749C" w:rsidRDefault="00B740EF" w:rsidP="00AA3434">
            <w:pPr>
              <w:rPr>
                <w:lang w:val="en-GB"/>
              </w:rPr>
            </w:pPr>
            <w:r>
              <w:rPr>
                <w:lang w:val="en-GB"/>
              </w:rPr>
              <w:t>X</w:t>
            </w:r>
          </w:p>
        </w:tc>
      </w:tr>
      <w:tr w:rsidR="00B740EF" w:rsidRPr="00A674EF" w14:paraId="34D34E4E" w14:textId="77777777" w:rsidTr="00971707">
        <w:trPr>
          <w:jc w:val="center"/>
        </w:trPr>
        <w:tc>
          <w:tcPr>
            <w:tcW w:w="2830" w:type="dxa"/>
          </w:tcPr>
          <w:p w14:paraId="5D6950A6" w14:textId="5AAA870C" w:rsidR="00B740EF" w:rsidRPr="00B740EF" w:rsidRDefault="00B740EF" w:rsidP="00AA3434">
            <w:pPr>
              <w:rPr>
                <w:b/>
                <w:lang w:val="en-GB"/>
              </w:rPr>
            </w:pPr>
            <w:r w:rsidRPr="00B740EF">
              <w:rPr>
                <w:b/>
                <w:lang w:val="en-GB"/>
              </w:rPr>
              <w:t>Temperature suitability index</w:t>
            </w:r>
          </w:p>
        </w:tc>
        <w:tc>
          <w:tcPr>
            <w:tcW w:w="2551" w:type="dxa"/>
          </w:tcPr>
          <w:p w14:paraId="2C47E4BF" w14:textId="3C732B8C" w:rsidR="00B740EF" w:rsidRDefault="00B740EF" w:rsidP="00AA3434">
            <w:pPr>
              <w:rPr>
                <w:lang w:val="en-GB"/>
              </w:rPr>
            </w:pPr>
            <w:r>
              <w:rPr>
                <w:lang w:val="en-GB"/>
              </w:rPr>
              <w:fldChar w:fldCharType="begin"/>
            </w:r>
            <w:r w:rsidR="007F4287">
              <w:rPr>
                <w:lang w:val="en-GB"/>
              </w:rPr>
              <w:instrText xml:space="preserve"> ADDIN ZOTERO_ITEM CSL_CITATION {"citationID":"zJPLVehq","properties":{"formattedCitation":"[2]","plainCitation":"[2]","noteIndex":0},"citationItems":[{"id":1879,"uris":["http://zotero.org/users/431843/items/IKSNZJQU"],"uri":["http://zotero.org/users/431843/items/IKSNZJQU"],"itemData":{"id":1879,"type":"article-journal","abstract":"Background Yellow fever virus (YFV) is a vector-borne flavivirus endemic to Africa and Latin America. Ninety per cent of the global burden occurs in Africa where it is primarily transmitted by Aedes spp, with Aedes aegypti the main vector for urban yellow fever (YF). Mosquito life cycle and viral replication in the mosquito are heavily dependent on climate, particularly temperature and rainfall. We aimed to assess whether seasonal variations in climatic factors are associated with the seasonality of YF reports. Methodology/Principal findings We constructed a temperature suitability index for YFV transmission, capturing the temperature dependence of mosquito behaviour and viral replication within the mosquito. We then fitted a series of multilevel logistic regression models to a dataset of YF reports across Africa, considering location and seasonality of occurrence for seasonal models, against the temperature suitability index, rainfall and the Enhanced Vegetation Index (EVI) as covariates alongside further demographic indicators. Model fit was assessed by the Area Under the Curve (AUC), and models were ranked by Akaike’s Information Criterion which was used to weight model outputs to create combined model predictions. The seasonal model accurately captured both the geographic and temporal heterogeneities in YF transmission (AUC = 0.81), and did not perform significantly worse than the annual model which only captured the geographic distribution. The interaction between temperature suitability and rainfall accounted for much of the occurrence of YF, which offers a statistical explanation for the spatio-temporal variability in transmission. Conclusions/Significance The description of seasonality offers an explanation for heterogeneities in the West-East YF burden across Africa. Annual climatic variables may indicate a transmission suitability not always reflected in seasonal interactions. This finding, in conjunction with forecasted data, could highlight areas of increased transmission and provide insights into the occurrence of large outbreaks, such as those seen in Angola, the Democratic Republic of the Congo and Brazil.","container-title":"PLOS Neglected Tropical Diseases","DOI":"10.1371/journal.pntd.0006284","ISSN":"1935-2735","issue":"3","journalAbbreviation":"PLOS Neglected Tropical Diseases","language":"en","page":"e0006284","source":"PLoS Journals","title":"The seasonal influence of climate and environment on yellow fever transmission across Africa","volume":"12","author":[{"family":"Hamlet","given":"Arran"},{"family":"Jean","given":"Kévin"},{"family":"Perea","given":"William"},{"family":"Yactayo","given":"Sergio"},{"family":"Biey","given":"Joseph"},{"family":"Kerkhove","given":"Maria Van"},{"family":"Ferguson","given":"Neil"},{"family":"Garske","given":"Tini"}],"issued":{"date-parts":[["2018",3,15]]}}}],"schema":"https://github.com/citation-style-language/schema/raw/master/csl-citation.json"} </w:instrText>
            </w:r>
            <w:r>
              <w:rPr>
                <w:lang w:val="en-GB"/>
              </w:rPr>
              <w:fldChar w:fldCharType="separate"/>
            </w:r>
            <w:r w:rsidR="007F4287" w:rsidRPr="007F4287">
              <w:rPr>
                <w:rFonts w:ascii="Calibri" w:hAnsi="Calibri" w:cs="Calibri"/>
                <w:lang w:val="en-GB"/>
              </w:rPr>
              <w:t>[2]</w:t>
            </w:r>
            <w:r>
              <w:rPr>
                <w:lang w:val="en-GB"/>
              </w:rPr>
              <w:fldChar w:fldCharType="end"/>
            </w:r>
          </w:p>
        </w:tc>
        <w:tc>
          <w:tcPr>
            <w:tcW w:w="1420" w:type="dxa"/>
          </w:tcPr>
          <w:p w14:paraId="5D1F3133" w14:textId="77777777" w:rsidR="00B740EF" w:rsidRDefault="00B740EF" w:rsidP="00AA3434">
            <w:pPr>
              <w:rPr>
                <w:lang w:val="en-GB"/>
              </w:rPr>
            </w:pPr>
          </w:p>
        </w:tc>
        <w:tc>
          <w:tcPr>
            <w:tcW w:w="1437" w:type="dxa"/>
          </w:tcPr>
          <w:p w14:paraId="10AF6C1D" w14:textId="3C79D447" w:rsidR="00B740EF" w:rsidRDefault="00B740EF" w:rsidP="00AA3434">
            <w:pPr>
              <w:rPr>
                <w:lang w:val="en-GB"/>
              </w:rPr>
            </w:pPr>
            <w:r>
              <w:rPr>
                <w:lang w:val="en-GB"/>
              </w:rPr>
              <w:t>X</w:t>
            </w:r>
          </w:p>
        </w:tc>
      </w:tr>
    </w:tbl>
    <w:p w14:paraId="2BF849C8" w14:textId="78FCB065" w:rsidR="00374B96" w:rsidRDefault="00374B96" w:rsidP="00AA3434">
      <w:pPr>
        <w:rPr>
          <w:lang w:val="en-GB"/>
        </w:rPr>
      </w:pPr>
      <w:r w:rsidRPr="00570165">
        <w:rPr>
          <w:b/>
          <w:lang w:val="en-GB"/>
        </w:rPr>
        <w:t>Table</w:t>
      </w:r>
      <w:r w:rsidR="00570165" w:rsidRPr="00570165">
        <w:rPr>
          <w:b/>
          <w:lang w:val="en-GB"/>
        </w:rPr>
        <w:t xml:space="preserve"> S1</w:t>
      </w:r>
      <w:r w:rsidRPr="00570165">
        <w:rPr>
          <w:b/>
          <w:lang w:val="en-GB"/>
        </w:rPr>
        <w:t>:</w:t>
      </w:r>
      <w:r>
        <w:rPr>
          <w:lang w:val="en-GB"/>
        </w:rPr>
        <w:t xml:space="preserve"> </w:t>
      </w:r>
      <w:r w:rsidR="00570165">
        <w:rPr>
          <w:lang w:val="en-GB"/>
        </w:rPr>
        <w:t>Covariates entered for the statistical and mechanistic models used in the cohort-style analysis measuring the association between the implementation of preventive mass vaccination campaign and yellow fever outbreak.</w:t>
      </w:r>
    </w:p>
    <w:p w14:paraId="1DF5C8BA" w14:textId="79224F6C" w:rsidR="00374B96" w:rsidRDefault="00374B96" w:rsidP="00AA3434">
      <w:pPr>
        <w:rPr>
          <w:lang w:val="en-GB"/>
        </w:rPr>
      </w:pPr>
    </w:p>
    <w:p w14:paraId="011B48A4" w14:textId="77777777" w:rsidR="00AA3434" w:rsidRDefault="00AA3434">
      <w:pPr>
        <w:rPr>
          <w:lang w:val="en-GB"/>
        </w:rPr>
      </w:pPr>
    </w:p>
    <w:p w14:paraId="0E01E381" w14:textId="79819211" w:rsidR="00AA3434" w:rsidRDefault="00AA3434">
      <w:pPr>
        <w:rPr>
          <w:lang w:val="en-GB"/>
        </w:rPr>
      </w:pPr>
    </w:p>
    <w:p w14:paraId="7ACD9DF1" w14:textId="23D927C3" w:rsidR="00AA3434" w:rsidRDefault="00AA3434">
      <w:pPr>
        <w:rPr>
          <w:lang w:val="en-GB"/>
        </w:rPr>
      </w:pPr>
      <w:r>
        <w:rPr>
          <w:lang w:val="en-GB"/>
        </w:rPr>
        <w:br w:type="page"/>
      </w:r>
    </w:p>
    <w:p w14:paraId="22A84DC3" w14:textId="4394FAC2" w:rsidR="00343CE5" w:rsidRDefault="00343CE5" w:rsidP="00343CE5">
      <w:pPr>
        <w:rPr>
          <w:rFonts w:asciiTheme="majorHAnsi" w:hAnsiTheme="majorHAnsi" w:cstheme="majorHAnsi"/>
          <w:b/>
          <w:bCs/>
          <w:color w:val="000000"/>
          <w:sz w:val="24"/>
          <w:szCs w:val="24"/>
          <w:lang w:val="en-GB"/>
        </w:rPr>
      </w:pPr>
      <w:r w:rsidRPr="00AA3434">
        <w:rPr>
          <w:rFonts w:asciiTheme="majorHAnsi" w:hAnsiTheme="majorHAnsi" w:cstheme="majorHAnsi"/>
          <w:b/>
          <w:bCs/>
          <w:color w:val="000000"/>
          <w:sz w:val="24"/>
          <w:szCs w:val="24"/>
          <w:lang w:val="en-GB"/>
        </w:rPr>
        <w:lastRenderedPageBreak/>
        <w:t xml:space="preserve">Supplementary </w:t>
      </w:r>
      <w:r w:rsidR="005D16C3">
        <w:rPr>
          <w:rFonts w:asciiTheme="majorHAnsi" w:hAnsiTheme="majorHAnsi" w:cstheme="majorHAnsi"/>
          <w:b/>
          <w:bCs/>
          <w:color w:val="000000"/>
          <w:sz w:val="24"/>
          <w:szCs w:val="24"/>
          <w:lang w:val="en-GB"/>
        </w:rPr>
        <w:t>Table</w:t>
      </w:r>
      <w:r w:rsidRPr="00AA3434">
        <w:rPr>
          <w:rFonts w:asciiTheme="majorHAnsi" w:hAnsiTheme="majorHAnsi" w:cstheme="majorHAnsi"/>
          <w:b/>
          <w:bCs/>
          <w:color w:val="000000"/>
          <w:sz w:val="24"/>
          <w:szCs w:val="24"/>
          <w:lang w:val="en-GB"/>
        </w:rPr>
        <w:t xml:space="preserve"> </w:t>
      </w:r>
      <w:proofErr w:type="gramStart"/>
      <w:r>
        <w:rPr>
          <w:rFonts w:asciiTheme="majorHAnsi" w:hAnsiTheme="majorHAnsi" w:cstheme="majorHAnsi"/>
          <w:b/>
          <w:bCs/>
          <w:color w:val="000000"/>
          <w:sz w:val="24"/>
          <w:szCs w:val="24"/>
          <w:lang w:val="en-GB"/>
        </w:rPr>
        <w:t>S</w:t>
      </w:r>
      <w:r w:rsidR="005D16C3">
        <w:rPr>
          <w:rFonts w:asciiTheme="majorHAnsi" w:hAnsiTheme="majorHAnsi" w:cstheme="majorHAnsi"/>
          <w:b/>
          <w:bCs/>
          <w:color w:val="000000"/>
          <w:sz w:val="24"/>
          <w:szCs w:val="24"/>
          <w:lang w:val="en-GB"/>
        </w:rPr>
        <w:t>1</w:t>
      </w:r>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w:t>
      </w:r>
      <w:proofErr w:type="gramEnd"/>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Fit of the Poisson probability distribution to outbreak data</w:t>
      </w:r>
    </w:p>
    <w:p w14:paraId="113BDF8B" w14:textId="5E1416EC" w:rsidR="00343CE5" w:rsidRDefault="00343CE5" w:rsidP="00343CE5">
      <w:pPr>
        <w:rPr>
          <w:rFonts w:asciiTheme="majorHAnsi" w:hAnsiTheme="majorHAnsi" w:cstheme="majorHAnsi"/>
          <w:b/>
          <w:bCs/>
          <w:color w:val="000000"/>
          <w:sz w:val="24"/>
          <w:szCs w:val="24"/>
          <w:lang w:val="en-GB"/>
        </w:rPr>
      </w:pPr>
    </w:p>
    <w:tbl>
      <w:tblPr>
        <w:tblStyle w:val="Grilledutableau"/>
        <w:tblW w:w="9230" w:type="dxa"/>
        <w:tblLook w:val="04A0" w:firstRow="1" w:lastRow="0" w:firstColumn="1" w:lastColumn="0" w:noHBand="0" w:noVBand="1"/>
      </w:tblPr>
      <w:tblGrid>
        <w:gridCol w:w="1980"/>
        <w:gridCol w:w="1812"/>
        <w:gridCol w:w="1812"/>
        <w:gridCol w:w="1813"/>
        <w:gridCol w:w="1813"/>
      </w:tblGrid>
      <w:tr w:rsidR="005D16C3" w:rsidRPr="00A674EF" w14:paraId="73CF1615" w14:textId="77777777" w:rsidTr="00B4585C">
        <w:tc>
          <w:tcPr>
            <w:tcW w:w="1980" w:type="dxa"/>
          </w:tcPr>
          <w:p w14:paraId="59BDB28C" w14:textId="77777777" w:rsidR="005D16C3" w:rsidRPr="00B4585C" w:rsidRDefault="005D16C3" w:rsidP="00695F23">
            <w:pPr>
              <w:rPr>
                <w:b/>
                <w:lang w:val="en-GB"/>
              </w:rPr>
            </w:pPr>
            <w:r w:rsidRPr="00B4585C">
              <w:rPr>
                <w:b/>
                <w:lang w:val="en-GB"/>
              </w:rPr>
              <w:t>Number of outbreaks</w:t>
            </w:r>
          </w:p>
        </w:tc>
        <w:tc>
          <w:tcPr>
            <w:tcW w:w="1812" w:type="dxa"/>
          </w:tcPr>
          <w:p w14:paraId="5D77916E" w14:textId="77777777" w:rsidR="005D16C3" w:rsidRPr="00B4585C" w:rsidRDefault="005D16C3" w:rsidP="00695F23">
            <w:pPr>
              <w:rPr>
                <w:b/>
                <w:lang w:val="en-GB"/>
              </w:rPr>
            </w:pPr>
            <w:r w:rsidRPr="00B4585C">
              <w:rPr>
                <w:b/>
                <w:lang w:val="en-GB"/>
              </w:rPr>
              <w:t>0</w:t>
            </w:r>
          </w:p>
        </w:tc>
        <w:tc>
          <w:tcPr>
            <w:tcW w:w="1812" w:type="dxa"/>
          </w:tcPr>
          <w:p w14:paraId="4F130A5E" w14:textId="77777777" w:rsidR="005D16C3" w:rsidRPr="00B4585C" w:rsidRDefault="005D16C3" w:rsidP="00695F23">
            <w:pPr>
              <w:rPr>
                <w:b/>
                <w:lang w:val="en-GB"/>
              </w:rPr>
            </w:pPr>
            <w:r w:rsidRPr="00B4585C">
              <w:rPr>
                <w:b/>
                <w:lang w:val="en-GB"/>
              </w:rPr>
              <w:t>1</w:t>
            </w:r>
          </w:p>
        </w:tc>
        <w:tc>
          <w:tcPr>
            <w:tcW w:w="1813" w:type="dxa"/>
          </w:tcPr>
          <w:p w14:paraId="28819716" w14:textId="77777777" w:rsidR="005D16C3" w:rsidRPr="00B4585C" w:rsidRDefault="005D16C3" w:rsidP="00695F23">
            <w:pPr>
              <w:rPr>
                <w:b/>
                <w:lang w:val="en-GB"/>
              </w:rPr>
            </w:pPr>
            <w:r w:rsidRPr="00B4585C">
              <w:rPr>
                <w:b/>
                <w:lang w:val="en-GB"/>
              </w:rPr>
              <w:t>2</w:t>
            </w:r>
          </w:p>
        </w:tc>
        <w:tc>
          <w:tcPr>
            <w:tcW w:w="1813" w:type="dxa"/>
          </w:tcPr>
          <w:p w14:paraId="0E8DDFCB" w14:textId="77777777" w:rsidR="005D16C3" w:rsidRPr="00B4585C" w:rsidRDefault="005D16C3" w:rsidP="00695F23">
            <w:pPr>
              <w:rPr>
                <w:b/>
                <w:lang w:val="en-GB"/>
              </w:rPr>
            </w:pPr>
            <w:r w:rsidRPr="00B4585C">
              <w:rPr>
                <w:b/>
                <w:lang w:val="en-GB"/>
              </w:rPr>
              <w:t>3</w:t>
            </w:r>
          </w:p>
        </w:tc>
      </w:tr>
      <w:tr w:rsidR="005D16C3" w:rsidRPr="00A674EF" w14:paraId="2CDAA871" w14:textId="77777777" w:rsidTr="00B4585C">
        <w:tc>
          <w:tcPr>
            <w:tcW w:w="1980" w:type="dxa"/>
          </w:tcPr>
          <w:p w14:paraId="249C3F0E" w14:textId="3D98124E" w:rsidR="005D16C3" w:rsidRPr="00B4585C" w:rsidRDefault="005D16C3" w:rsidP="00695F23">
            <w:pPr>
              <w:rPr>
                <w:b/>
                <w:lang w:val="en-GB"/>
              </w:rPr>
            </w:pPr>
            <w:r w:rsidRPr="00B4585C">
              <w:rPr>
                <w:b/>
                <w:lang w:val="en-GB"/>
              </w:rPr>
              <w:t>Observed count</w:t>
            </w:r>
          </w:p>
        </w:tc>
        <w:tc>
          <w:tcPr>
            <w:tcW w:w="1812" w:type="dxa"/>
          </w:tcPr>
          <w:p w14:paraId="192BC00C" w14:textId="77777777" w:rsidR="005D16C3" w:rsidRDefault="005D16C3" w:rsidP="00695F23">
            <w:pPr>
              <w:rPr>
                <w:lang w:val="en-GB"/>
              </w:rPr>
            </w:pPr>
            <w:r>
              <w:rPr>
                <w:lang w:val="en-GB"/>
              </w:rPr>
              <w:t>398</w:t>
            </w:r>
          </w:p>
        </w:tc>
        <w:tc>
          <w:tcPr>
            <w:tcW w:w="1812" w:type="dxa"/>
          </w:tcPr>
          <w:p w14:paraId="3E735C88" w14:textId="77777777" w:rsidR="005D16C3" w:rsidRDefault="005D16C3" w:rsidP="00695F23">
            <w:pPr>
              <w:rPr>
                <w:lang w:val="en-GB"/>
              </w:rPr>
            </w:pPr>
            <w:r>
              <w:rPr>
                <w:lang w:val="en-GB"/>
              </w:rPr>
              <w:t>69</w:t>
            </w:r>
          </w:p>
        </w:tc>
        <w:tc>
          <w:tcPr>
            <w:tcW w:w="1813" w:type="dxa"/>
          </w:tcPr>
          <w:p w14:paraId="6AB1B4E1" w14:textId="77777777" w:rsidR="005D16C3" w:rsidRDefault="005D16C3" w:rsidP="00695F23">
            <w:pPr>
              <w:rPr>
                <w:lang w:val="en-GB"/>
              </w:rPr>
            </w:pPr>
            <w:r>
              <w:rPr>
                <w:lang w:val="en-GB"/>
              </w:rPr>
              <w:t>9</w:t>
            </w:r>
          </w:p>
        </w:tc>
        <w:tc>
          <w:tcPr>
            <w:tcW w:w="1813" w:type="dxa"/>
          </w:tcPr>
          <w:p w14:paraId="3E751606" w14:textId="77777777" w:rsidR="005D16C3" w:rsidRDefault="005D16C3" w:rsidP="00695F23">
            <w:pPr>
              <w:rPr>
                <w:lang w:val="en-GB"/>
              </w:rPr>
            </w:pPr>
            <w:r>
              <w:rPr>
                <w:lang w:val="en-GB"/>
              </w:rPr>
              <w:t>3</w:t>
            </w:r>
          </w:p>
        </w:tc>
      </w:tr>
      <w:tr w:rsidR="005D16C3" w:rsidRPr="00A674EF" w14:paraId="262E5CFB" w14:textId="77777777" w:rsidTr="00B4585C">
        <w:tc>
          <w:tcPr>
            <w:tcW w:w="1980" w:type="dxa"/>
          </w:tcPr>
          <w:p w14:paraId="65239592" w14:textId="6FCCDB1E" w:rsidR="005D16C3" w:rsidRDefault="005D16C3" w:rsidP="005D16C3">
            <w:pPr>
              <w:rPr>
                <w:lang w:val="en-GB"/>
              </w:rPr>
            </w:pPr>
            <w:r w:rsidRPr="00B4585C">
              <w:rPr>
                <w:b/>
                <w:lang w:val="en-GB"/>
              </w:rPr>
              <w:t>Simulated counts</w:t>
            </w:r>
            <w:r>
              <w:rPr>
                <w:lang w:val="en-GB"/>
              </w:rPr>
              <w:t xml:space="preserve"> : Median and 95% Confidence interval </w:t>
            </w:r>
          </w:p>
        </w:tc>
        <w:tc>
          <w:tcPr>
            <w:tcW w:w="1812" w:type="dxa"/>
          </w:tcPr>
          <w:p w14:paraId="212DDD3B" w14:textId="31D7C76E" w:rsidR="005D16C3" w:rsidRDefault="005D16C3" w:rsidP="005D16C3">
            <w:pPr>
              <w:rPr>
                <w:lang w:val="en-GB"/>
              </w:rPr>
            </w:pPr>
            <w:r>
              <w:rPr>
                <w:lang w:val="en-GB"/>
              </w:rPr>
              <w:t>392 (375-408)</w:t>
            </w:r>
          </w:p>
        </w:tc>
        <w:tc>
          <w:tcPr>
            <w:tcW w:w="1812" w:type="dxa"/>
          </w:tcPr>
          <w:p w14:paraId="778CD614" w14:textId="3E0A9B08" w:rsidR="005D16C3" w:rsidRDefault="005D16C3" w:rsidP="005D16C3">
            <w:pPr>
              <w:rPr>
                <w:lang w:val="en-GB"/>
              </w:rPr>
            </w:pPr>
            <w:r>
              <w:rPr>
                <w:lang w:val="en-GB"/>
              </w:rPr>
              <w:t>78 (63-95)</w:t>
            </w:r>
          </w:p>
        </w:tc>
        <w:tc>
          <w:tcPr>
            <w:tcW w:w="1813" w:type="dxa"/>
          </w:tcPr>
          <w:p w14:paraId="70FDBF90" w14:textId="37EA541A" w:rsidR="005D16C3" w:rsidRDefault="005D16C3" w:rsidP="005D16C3">
            <w:pPr>
              <w:rPr>
                <w:lang w:val="en-GB"/>
              </w:rPr>
            </w:pPr>
            <w:r>
              <w:rPr>
                <w:lang w:val="en-GB"/>
              </w:rPr>
              <w:t>8 (3-14)</w:t>
            </w:r>
          </w:p>
        </w:tc>
        <w:tc>
          <w:tcPr>
            <w:tcW w:w="1813" w:type="dxa"/>
          </w:tcPr>
          <w:p w14:paraId="51AAF2B8" w14:textId="33A94D40" w:rsidR="005D16C3" w:rsidRDefault="005D16C3" w:rsidP="005D16C3">
            <w:pPr>
              <w:rPr>
                <w:lang w:val="en-GB"/>
              </w:rPr>
            </w:pPr>
            <w:r>
              <w:rPr>
                <w:lang w:val="en-GB"/>
              </w:rPr>
              <w:t>0 (0-2)</w:t>
            </w:r>
          </w:p>
        </w:tc>
      </w:tr>
    </w:tbl>
    <w:p w14:paraId="43C051BF" w14:textId="4B7B2EF8" w:rsidR="005D16C3" w:rsidRPr="00B4585C" w:rsidRDefault="005D16C3" w:rsidP="00343CE5">
      <w:pPr>
        <w:rPr>
          <w:b/>
          <w:lang w:val="en-GB"/>
        </w:rPr>
      </w:pPr>
      <w:r w:rsidRPr="00B4585C">
        <w:rPr>
          <w:b/>
          <w:lang w:val="en-GB"/>
        </w:rPr>
        <w:t xml:space="preserve">Supplementary Table S1: </w:t>
      </w:r>
      <w:r w:rsidRPr="00B4585C">
        <w:rPr>
          <w:lang w:val="en-GB"/>
        </w:rPr>
        <w:t>Fit of the Poisson probability distribution to outbreak data</w:t>
      </w:r>
      <w:r>
        <w:rPr>
          <w:lang w:val="en-GB"/>
        </w:rPr>
        <w:t xml:space="preserve">. </w:t>
      </w:r>
    </w:p>
    <w:p w14:paraId="1133BFCC" w14:textId="74E74154" w:rsidR="00343CE5" w:rsidRDefault="00343CE5" w:rsidP="00343CE5">
      <w:pPr>
        <w:rPr>
          <w:lang w:val="en-GB"/>
        </w:rPr>
      </w:pPr>
      <w:r>
        <w:rPr>
          <w:lang w:val="en-GB"/>
        </w:rPr>
        <w:t>Based on the entire sample of the 479 provinces, we observed a total of 96 outbreaks over the study period.</w:t>
      </w:r>
      <w:r w:rsidR="005D16C3">
        <w:rPr>
          <w:lang w:val="en-GB"/>
        </w:rPr>
        <w:t xml:space="preserve"> Under the assumption that these outbreaks are distributed according to a Poisson probability distribution, the corresponding Poisson rate is </w:t>
      </w:r>
      <w:r w:rsidR="005D16C3">
        <w:rPr>
          <w:rFonts w:cstheme="minorHAnsi"/>
          <w:lang w:val="en-GB"/>
        </w:rPr>
        <w:t>λ</w:t>
      </w:r>
      <w:r w:rsidR="005D16C3">
        <w:rPr>
          <w:lang w:val="en-GB"/>
        </w:rPr>
        <w:t xml:space="preserve"> = 96/479. The simulated counts were obtained from 10,000 random realizations of a Poisson process of rate </w:t>
      </w:r>
      <w:r w:rsidR="005D16C3">
        <w:rPr>
          <w:rFonts w:cstheme="minorHAnsi"/>
          <w:lang w:val="en-GB"/>
        </w:rPr>
        <w:t>λ</w:t>
      </w:r>
      <w:r w:rsidR="005D16C3">
        <w:rPr>
          <w:lang w:val="en-GB"/>
        </w:rPr>
        <w:t xml:space="preserve"> = 96/479.</w:t>
      </w:r>
    </w:p>
    <w:p w14:paraId="74CDE29B" w14:textId="13797D4D" w:rsidR="00343CE5" w:rsidRDefault="00343CE5">
      <w:pPr>
        <w:rPr>
          <w:rFonts w:asciiTheme="majorHAnsi" w:hAnsiTheme="majorHAnsi" w:cstheme="majorHAnsi"/>
          <w:b/>
          <w:bCs/>
          <w:color w:val="000000"/>
          <w:sz w:val="24"/>
          <w:szCs w:val="24"/>
          <w:lang w:val="en-GB"/>
        </w:rPr>
      </w:pPr>
      <w:r>
        <w:rPr>
          <w:rFonts w:asciiTheme="majorHAnsi" w:hAnsiTheme="majorHAnsi" w:cstheme="majorHAnsi"/>
          <w:b/>
          <w:bCs/>
          <w:color w:val="000000"/>
          <w:sz w:val="24"/>
          <w:szCs w:val="24"/>
          <w:lang w:val="en-GB"/>
        </w:rPr>
        <w:br w:type="page"/>
      </w:r>
    </w:p>
    <w:p w14:paraId="767DFA58" w14:textId="77777777" w:rsidR="00A674EF" w:rsidRDefault="00A674EF">
      <w:pPr>
        <w:rPr>
          <w:rFonts w:asciiTheme="majorHAnsi" w:hAnsiTheme="majorHAnsi" w:cstheme="majorHAnsi"/>
          <w:b/>
          <w:bCs/>
          <w:color w:val="000000"/>
          <w:sz w:val="24"/>
          <w:szCs w:val="24"/>
          <w:lang w:val="en-GB"/>
        </w:rPr>
      </w:pPr>
      <w:r w:rsidRPr="00AA3434">
        <w:rPr>
          <w:rFonts w:asciiTheme="majorHAnsi" w:hAnsiTheme="majorHAnsi" w:cstheme="majorHAnsi"/>
          <w:b/>
          <w:bCs/>
          <w:color w:val="000000"/>
          <w:sz w:val="24"/>
          <w:szCs w:val="24"/>
          <w:lang w:val="en-GB"/>
        </w:rPr>
        <w:lastRenderedPageBreak/>
        <w:t xml:space="preserve">Supplementary </w:t>
      </w:r>
      <w:r>
        <w:rPr>
          <w:rFonts w:asciiTheme="majorHAnsi" w:hAnsiTheme="majorHAnsi" w:cstheme="majorHAnsi"/>
          <w:b/>
          <w:bCs/>
          <w:color w:val="000000"/>
          <w:sz w:val="24"/>
          <w:szCs w:val="24"/>
          <w:lang w:val="en-GB"/>
        </w:rPr>
        <w:t>Table</w:t>
      </w:r>
      <w:r w:rsidRPr="00AA3434">
        <w:rPr>
          <w:rFonts w:asciiTheme="majorHAnsi" w:hAnsiTheme="majorHAnsi" w:cstheme="majorHAnsi"/>
          <w:b/>
          <w:bCs/>
          <w:color w:val="000000"/>
          <w:sz w:val="24"/>
          <w:szCs w:val="24"/>
          <w:lang w:val="en-GB"/>
        </w:rPr>
        <w:t xml:space="preserve"> </w:t>
      </w:r>
      <w:proofErr w:type="gramStart"/>
      <w:r>
        <w:rPr>
          <w:rFonts w:asciiTheme="majorHAnsi" w:hAnsiTheme="majorHAnsi" w:cstheme="majorHAnsi"/>
          <w:b/>
          <w:bCs/>
          <w:color w:val="000000"/>
          <w:sz w:val="24"/>
          <w:szCs w:val="24"/>
          <w:lang w:val="en-GB"/>
        </w:rPr>
        <w:t>S</w:t>
      </w:r>
      <w:r>
        <w:rPr>
          <w:rFonts w:asciiTheme="majorHAnsi" w:hAnsiTheme="majorHAnsi" w:cstheme="majorHAnsi"/>
          <w:b/>
          <w:bCs/>
          <w:color w:val="000000"/>
          <w:sz w:val="24"/>
          <w:szCs w:val="24"/>
          <w:lang w:val="en-GB"/>
        </w:rPr>
        <w:t>2</w:t>
      </w:r>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w:t>
      </w:r>
      <w:proofErr w:type="gramEnd"/>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Country and province names, Figure 2 (main text)</w:t>
      </w:r>
    </w:p>
    <w:p w14:paraId="473646A4" w14:textId="77777777" w:rsidR="00A674EF" w:rsidRDefault="00A674EF">
      <w:pPr>
        <w:rPr>
          <w:rFonts w:asciiTheme="majorHAnsi" w:hAnsiTheme="majorHAnsi" w:cstheme="majorHAnsi"/>
          <w:b/>
          <w:bCs/>
          <w:color w:val="000000"/>
          <w:sz w:val="24"/>
          <w:szCs w:val="24"/>
          <w:lang w:val="en-GB"/>
        </w:rPr>
      </w:pPr>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531"/>
      </w:tblGrid>
      <w:tr w:rsidR="00A674EF" w:rsidRPr="00A674EF" w14:paraId="2BF732EE" w14:textId="77777777" w:rsidTr="00A674EF">
        <w:trPr>
          <w:trHeight w:val="288"/>
          <w:jc w:val="center"/>
        </w:trPr>
        <w:tc>
          <w:tcPr>
            <w:tcW w:w="1980" w:type="dxa"/>
            <w:shd w:val="clear" w:color="auto" w:fill="auto"/>
            <w:noWrap/>
            <w:vAlign w:val="bottom"/>
            <w:hideMark/>
          </w:tcPr>
          <w:p w14:paraId="2759F91F" w14:textId="229B351E" w:rsidR="00A674EF" w:rsidRPr="00A674EF" w:rsidRDefault="00A674EF" w:rsidP="00A674EF">
            <w:pPr>
              <w:spacing w:after="0" w:line="240" w:lineRule="auto"/>
              <w:rPr>
                <w:rFonts w:ascii="Calibri" w:eastAsia="Times New Roman" w:hAnsi="Calibri" w:cs="Calibri"/>
                <w:b/>
                <w:color w:val="000000"/>
                <w:lang w:val="en-GB" w:eastAsia="en-GB"/>
              </w:rPr>
            </w:pPr>
            <w:r w:rsidRPr="00A674EF">
              <w:rPr>
                <w:rFonts w:ascii="Calibri" w:eastAsia="Times New Roman" w:hAnsi="Calibri" w:cs="Calibri"/>
                <w:b/>
                <w:color w:val="000000"/>
                <w:lang w:val="en-GB" w:eastAsia="en-GB"/>
              </w:rPr>
              <w:t>Province ISO code</w:t>
            </w:r>
          </w:p>
        </w:tc>
        <w:tc>
          <w:tcPr>
            <w:tcW w:w="2551" w:type="dxa"/>
            <w:shd w:val="clear" w:color="auto" w:fill="auto"/>
            <w:noWrap/>
            <w:vAlign w:val="bottom"/>
            <w:hideMark/>
          </w:tcPr>
          <w:p w14:paraId="41B6F2FA" w14:textId="77777777" w:rsidR="00A674EF" w:rsidRPr="00A674EF" w:rsidRDefault="00A674EF" w:rsidP="00A674EF">
            <w:pPr>
              <w:spacing w:after="0" w:line="240" w:lineRule="auto"/>
              <w:rPr>
                <w:rFonts w:ascii="Calibri" w:eastAsia="Times New Roman" w:hAnsi="Calibri" w:cs="Calibri"/>
                <w:b/>
                <w:color w:val="000000"/>
                <w:lang w:val="en-GB" w:eastAsia="en-GB"/>
              </w:rPr>
            </w:pPr>
            <w:r w:rsidRPr="00A674EF">
              <w:rPr>
                <w:rFonts w:ascii="Calibri" w:eastAsia="Times New Roman" w:hAnsi="Calibri" w:cs="Calibri"/>
                <w:b/>
                <w:color w:val="000000"/>
                <w:lang w:val="en-GB" w:eastAsia="en-GB"/>
              </w:rPr>
              <w:t>Country</w:t>
            </w:r>
          </w:p>
        </w:tc>
        <w:tc>
          <w:tcPr>
            <w:tcW w:w="2531" w:type="dxa"/>
            <w:shd w:val="clear" w:color="auto" w:fill="auto"/>
            <w:noWrap/>
            <w:vAlign w:val="bottom"/>
            <w:hideMark/>
          </w:tcPr>
          <w:p w14:paraId="22943D0F" w14:textId="77777777" w:rsidR="00A674EF" w:rsidRPr="00A674EF" w:rsidRDefault="00A674EF" w:rsidP="00A674EF">
            <w:pPr>
              <w:spacing w:after="0" w:line="240" w:lineRule="auto"/>
              <w:rPr>
                <w:rFonts w:ascii="Calibri" w:eastAsia="Times New Roman" w:hAnsi="Calibri" w:cs="Calibri"/>
                <w:b/>
                <w:color w:val="000000"/>
                <w:lang w:val="en-GB" w:eastAsia="en-GB"/>
              </w:rPr>
            </w:pPr>
            <w:r w:rsidRPr="00A674EF">
              <w:rPr>
                <w:rFonts w:ascii="Calibri" w:eastAsia="Times New Roman" w:hAnsi="Calibri" w:cs="Calibri"/>
                <w:b/>
                <w:color w:val="000000"/>
                <w:lang w:val="en-GB" w:eastAsia="en-GB"/>
              </w:rPr>
              <w:t>Province</w:t>
            </w:r>
          </w:p>
        </w:tc>
      </w:tr>
      <w:tr w:rsidR="00A674EF" w:rsidRPr="00A674EF" w14:paraId="1050BC8C" w14:textId="77777777" w:rsidTr="00A674EF">
        <w:trPr>
          <w:trHeight w:val="288"/>
          <w:jc w:val="center"/>
        </w:trPr>
        <w:tc>
          <w:tcPr>
            <w:tcW w:w="1980" w:type="dxa"/>
            <w:shd w:val="clear" w:color="auto" w:fill="auto"/>
            <w:noWrap/>
            <w:vAlign w:val="bottom"/>
            <w:hideMark/>
          </w:tcPr>
          <w:p w14:paraId="45699D11"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CAF_12</w:t>
            </w:r>
          </w:p>
        </w:tc>
        <w:tc>
          <w:tcPr>
            <w:tcW w:w="2551" w:type="dxa"/>
            <w:shd w:val="clear" w:color="auto" w:fill="auto"/>
            <w:noWrap/>
            <w:vAlign w:val="bottom"/>
            <w:hideMark/>
          </w:tcPr>
          <w:p w14:paraId="7FBB6F63"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Central African Republic</w:t>
            </w:r>
          </w:p>
        </w:tc>
        <w:tc>
          <w:tcPr>
            <w:tcW w:w="2531" w:type="dxa"/>
            <w:shd w:val="clear" w:color="auto" w:fill="auto"/>
            <w:noWrap/>
            <w:vAlign w:val="bottom"/>
            <w:hideMark/>
          </w:tcPr>
          <w:p w14:paraId="54AD1D7A"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Ombella-M'Poko</w:t>
            </w:r>
            <w:proofErr w:type="spellEnd"/>
          </w:p>
        </w:tc>
      </w:tr>
      <w:tr w:rsidR="00A674EF" w:rsidRPr="00A674EF" w14:paraId="3A70B7C7" w14:textId="77777777" w:rsidTr="00A674EF">
        <w:trPr>
          <w:trHeight w:val="288"/>
          <w:jc w:val="center"/>
        </w:trPr>
        <w:tc>
          <w:tcPr>
            <w:tcW w:w="1980" w:type="dxa"/>
            <w:shd w:val="clear" w:color="auto" w:fill="auto"/>
            <w:noWrap/>
            <w:vAlign w:val="bottom"/>
            <w:hideMark/>
          </w:tcPr>
          <w:p w14:paraId="045DF791"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CAF_14</w:t>
            </w:r>
          </w:p>
        </w:tc>
        <w:tc>
          <w:tcPr>
            <w:tcW w:w="2551" w:type="dxa"/>
            <w:shd w:val="clear" w:color="auto" w:fill="auto"/>
            <w:noWrap/>
            <w:vAlign w:val="bottom"/>
            <w:hideMark/>
          </w:tcPr>
          <w:p w14:paraId="23EF2BB3"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Central African Republic</w:t>
            </w:r>
          </w:p>
        </w:tc>
        <w:tc>
          <w:tcPr>
            <w:tcW w:w="2531" w:type="dxa"/>
            <w:shd w:val="clear" w:color="auto" w:fill="auto"/>
            <w:noWrap/>
            <w:vAlign w:val="bottom"/>
            <w:hideMark/>
          </w:tcPr>
          <w:p w14:paraId="296C4A72"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Ouham-Pendé</w:t>
            </w:r>
            <w:proofErr w:type="spellEnd"/>
          </w:p>
        </w:tc>
      </w:tr>
      <w:tr w:rsidR="00A674EF" w:rsidRPr="00A674EF" w14:paraId="4DA2424E" w14:textId="77777777" w:rsidTr="00A674EF">
        <w:trPr>
          <w:trHeight w:val="288"/>
          <w:jc w:val="center"/>
        </w:trPr>
        <w:tc>
          <w:tcPr>
            <w:tcW w:w="1980" w:type="dxa"/>
            <w:shd w:val="clear" w:color="auto" w:fill="auto"/>
            <w:noWrap/>
            <w:vAlign w:val="bottom"/>
            <w:hideMark/>
          </w:tcPr>
          <w:p w14:paraId="11472842"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CAF_5</w:t>
            </w:r>
          </w:p>
        </w:tc>
        <w:tc>
          <w:tcPr>
            <w:tcW w:w="2551" w:type="dxa"/>
            <w:shd w:val="clear" w:color="auto" w:fill="auto"/>
            <w:noWrap/>
            <w:vAlign w:val="bottom"/>
            <w:hideMark/>
          </w:tcPr>
          <w:p w14:paraId="71E0331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Central African Republic</w:t>
            </w:r>
          </w:p>
        </w:tc>
        <w:tc>
          <w:tcPr>
            <w:tcW w:w="2531" w:type="dxa"/>
            <w:shd w:val="clear" w:color="auto" w:fill="auto"/>
            <w:noWrap/>
            <w:vAlign w:val="bottom"/>
            <w:hideMark/>
          </w:tcPr>
          <w:p w14:paraId="411494EE"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Haute-</w:t>
            </w:r>
            <w:proofErr w:type="spellStart"/>
            <w:r w:rsidRPr="00A674EF">
              <w:rPr>
                <w:rFonts w:ascii="Calibri" w:eastAsia="Times New Roman" w:hAnsi="Calibri" w:cs="Calibri"/>
                <w:color w:val="000000"/>
                <w:lang w:val="en-GB" w:eastAsia="en-GB"/>
              </w:rPr>
              <w:t>Kotto</w:t>
            </w:r>
            <w:proofErr w:type="spellEnd"/>
          </w:p>
        </w:tc>
      </w:tr>
      <w:tr w:rsidR="00A674EF" w:rsidRPr="00A674EF" w14:paraId="22C5030B" w14:textId="77777777" w:rsidTr="00A674EF">
        <w:trPr>
          <w:trHeight w:val="288"/>
          <w:jc w:val="center"/>
        </w:trPr>
        <w:tc>
          <w:tcPr>
            <w:tcW w:w="1980" w:type="dxa"/>
            <w:shd w:val="clear" w:color="auto" w:fill="auto"/>
            <w:noWrap/>
            <w:vAlign w:val="bottom"/>
            <w:hideMark/>
          </w:tcPr>
          <w:p w14:paraId="64D68DF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CIV_14</w:t>
            </w:r>
          </w:p>
        </w:tc>
        <w:tc>
          <w:tcPr>
            <w:tcW w:w="2551" w:type="dxa"/>
            <w:shd w:val="clear" w:color="auto" w:fill="auto"/>
            <w:noWrap/>
            <w:vAlign w:val="bottom"/>
            <w:hideMark/>
          </w:tcPr>
          <w:p w14:paraId="1612131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4E72BCE2"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Savanes</w:t>
            </w:r>
            <w:proofErr w:type="spellEnd"/>
          </w:p>
        </w:tc>
      </w:tr>
      <w:tr w:rsidR="00A674EF" w:rsidRPr="00A674EF" w14:paraId="06DB44E6" w14:textId="77777777" w:rsidTr="00A674EF">
        <w:trPr>
          <w:trHeight w:val="288"/>
          <w:jc w:val="center"/>
        </w:trPr>
        <w:tc>
          <w:tcPr>
            <w:tcW w:w="1980" w:type="dxa"/>
            <w:shd w:val="clear" w:color="auto" w:fill="auto"/>
            <w:noWrap/>
            <w:vAlign w:val="bottom"/>
            <w:hideMark/>
          </w:tcPr>
          <w:p w14:paraId="7B1287C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CIV_17</w:t>
            </w:r>
          </w:p>
        </w:tc>
        <w:tc>
          <w:tcPr>
            <w:tcW w:w="2551" w:type="dxa"/>
            <w:shd w:val="clear" w:color="auto" w:fill="auto"/>
            <w:noWrap/>
            <w:vAlign w:val="bottom"/>
            <w:hideMark/>
          </w:tcPr>
          <w:p w14:paraId="10EF9B6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5329D4F3"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Vallée</w:t>
            </w:r>
            <w:proofErr w:type="spellEnd"/>
            <w:r w:rsidRPr="00A674EF">
              <w:rPr>
                <w:rFonts w:ascii="Calibri" w:eastAsia="Times New Roman" w:hAnsi="Calibri" w:cs="Calibri"/>
                <w:color w:val="000000"/>
                <w:lang w:val="en-GB" w:eastAsia="en-GB"/>
              </w:rPr>
              <w:t xml:space="preserve"> du </w:t>
            </w:r>
            <w:proofErr w:type="spellStart"/>
            <w:r w:rsidRPr="00A674EF">
              <w:rPr>
                <w:rFonts w:ascii="Calibri" w:eastAsia="Times New Roman" w:hAnsi="Calibri" w:cs="Calibri"/>
                <w:color w:val="000000"/>
                <w:lang w:val="en-GB" w:eastAsia="en-GB"/>
              </w:rPr>
              <w:t>Bandama</w:t>
            </w:r>
            <w:proofErr w:type="spellEnd"/>
          </w:p>
        </w:tc>
      </w:tr>
      <w:tr w:rsidR="00A674EF" w:rsidRPr="00A674EF" w14:paraId="391A1466" w14:textId="77777777" w:rsidTr="00A674EF">
        <w:trPr>
          <w:trHeight w:val="288"/>
          <w:jc w:val="center"/>
        </w:trPr>
        <w:tc>
          <w:tcPr>
            <w:tcW w:w="1980" w:type="dxa"/>
            <w:shd w:val="clear" w:color="auto" w:fill="auto"/>
            <w:noWrap/>
            <w:vAlign w:val="bottom"/>
            <w:hideMark/>
          </w:tcPr>
          <w:p w14:paraId="24EEDE22"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CIV_18</w:t>
            </w:r>
          </w:p>
        </w:tc>
        <w:tc>
          <w:tcPr>
            <w:tcW w:w="2551" w:type="dxa"/>
            <w:shd w:val="clear" w:color="auto" w:fill="auto"/>
            <w:noWrap/>
            <w:vAlign w:val="bottom"/>
            <w:hideMark/>
          </w:tcPr>
          <w:p w14:paraId="7ACC8920"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13B59B78"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Worodougou</w:t>
            </w:r>
            <w:proofErr w:type="spellEnd"/>
          </w:p>
        </w:tc>
      </w:tr>
      <w:tr w:rsidR="00A674EF" w:rsidRPr="00A674EF" w14:paraId="6640AD5A" w14:textId="77777777" w:rsidTr="00A674EF">
        <w:trPr>
          <w:trHeight w:val="288"/>
          <w:jc w:val="center"/>
        </w:trPr>
        <w:tc>
          <w:tcPr>
            <w:tcW w:w="1980" w:type="dxa"/>
            <w:shd w:val="clear" w:color="auto" w:fill="auto"/>
            <w:noWrap/>
            <w:vAlign w:val="bottom"/>
            <w:hideMark/>
          </w:tcPr>
          <w:p w14:paraId="388D63AC"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CIV_19</w:t>
            </w:r>
          </w:p>
        </w:tc>
        <w:tc>
          <w:tcPr>
            <w:tcW w:w="2551" w:type="dxa"/>
            <w:shd w:val="clear" w:color="auto" w:fill="auto"/>
            <w:noWrap/>
            <w:vAlign w:val="bottom"/>
            <w:hideMark/>
          </w:tcPr>
          <w:p w14:paraId="2335966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59D89E60"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Zanzan</w:t>
            </w:r>
            <w:proofErr w:type="spellEnd"/>
          </w:p>
        </w:tc>
      </w:tr>
      <w:tr w:rsidR="00A674EF" w:rsidRPr="00A674EF" w14:paraId="24283DA6" w14:textId="77777777" w:rsidTr="00A674EF">
        <w:trPr>
          <w:trHeight w:val="288"/>
          <w:jc w:val="center"/>
        </w:trPr>
        <w:tc>
          <w:tcPr>
            <w:tcW w:w="1980" w:type="dxa"/>
            <w:shd w:val="clear" w:color="auto" w:fill="auto"/>
            <w:noWrap/>
            <w:vAlign w:val="bottom"/>
            <w:hideMark/>
          </w:tcPr>
          <w:p w14:paraId="5A4745C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CIV_6</w:t>
            </w:r>
          </w:p>
        </w:tc>
        <w:tc>
          <w:tcPr>
            <w:tcW w:w="2551" w:type="dxa"/>
            <w:shd w:val="clear" w:color="auto" w:fill="auto"/>
            <w:noWrap/>
            <w:vAlign w:val="bottom"/>
            <w:hideMark/>
          </w:tcPr>
          <w:p w14:paraId="7B4D2607"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59B8DDF7"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Fromager</w:t>
            </w:r>
            <w:proofErr w:type="spellEnd"/>
          </w:p>
        </w:tc>
      </w:tr>
      <w:tr w:rsidR="00A674EF" w:rsidRPr="00A674EF" w14:paraId="1163A78C" w14:textId="77777777" w:rsidTr="00A674EF">
        <w:trPr>
          <w:trHeight w:val="288"/>
          <w:jc w:val="center"/>
        </w:trPr>
        <w:tc>
          <w:tcPr>
            <w:tcW w:w="1980" w:type="dxa"/>
            <w:shd w:val="clear" w:color="auto" w:fill="auto"/>
            <w:noWrap/>
            <w:vAlign w:val="bottom"/>
            <w:hideMark/>
          </w:tcPr>
          <w:p w14:paraId="36D1D8E1"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CIV_9</w:t>
            </w:r>
          </w:p>
        </w:tc>
        <w:tc>
          <w:tcPr>
            <w:tcW w:w="2551" w:type="dxa"/>
            <w:shd w:val="clear" w:color="auto" w:fill="auto"/>
            <w:noWrap/>
            <w:vAlign w:val="bottom"/>
            <w:hideMark/>
          </w:tcPr>
          <w:p w14:paraId="2B7A05D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Côte d'Ivoire</w:t>
            </w:r>
          </w:p>
        </w:tc>
        <w:tc>
          <w:tcPr>
            <w:tcW w:w="2531" w:type="dxa"/>
            <w:shd w:val="clear" w:color="auto" w:fill="auto"/>
            <w:noWrap/>
            <w:vAlign w:val="bottom"/>
            <w:hideMark/>
          </w:tcPr>
          <w:p w14:paraId="033E8AE8"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Lagunes</w:t>
            </w:r>
            <w:proofErr w:type="spellEnd"/>
          </w:p>
        </w:tc>
      </w:tr>
      <w:tr w:rsidR="00A674EF" w:rsidRPr="00A674EF" w14:paraId="30CDAC69" w14:textId="77777777" w:rsidTr="00A674EF">
        <w:trPr>
          <w:trHeight w:val="288"/>
          <w:jc w:val="center"/>
        </w:trPr>
        <w:tc>
          <w:tcPr>
            <w:tcW w:w="1980" w:type="dxa"/>
            <w:shd w:val="clear" w:color="auto" w:fill="auto"/>
            <w:noWrap/>
            <w:vAlign w:val="bottom"/>
            <w:hideMark/>
          </w:tcPr>
          <w:p w14:paraId="371F615B"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CMR_1</w:t>
            </w:r>
          </w:p>
        </w:tc>
        <w:tc>
          <w:tcPr>
            <w:tcW w:w="2551" w:type="dxa"/>
            <w:shd w:val="clear" w:color="auto" w:fill="auto"/>
            <w:noWrap/>
            <w:vAlign w:val="bottom"/>
            <w:hideMark/>
          </w:tcPr>
          <w:p w14:paraId="49E6B31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3270E9FF"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Adamaoua</w:t>
            </w:r>
            <w:proofErr w:type="spellEnd"/>
          </w:p>
        </w:tc>
      </w:tr>
      <w:tr w:rsidR="00A674EF" w:rsidRPr="00A674EF" w14:paraId="7683C1A6" w14:textId="77777777" w:rsidTr="00A674EF">
        <w:trPr>
          <w:trHeight w:val="288"/>
          <w:jc w:val="center"/>
        </w:trPr>
        <w:tc>
          <w:tcPr>
            <w:tcW w:w="1980" w:type="dxa"/>
            <w:shd w:val="clear" w:color="auto" w:fill="auto"/>
            <w:noWrap/>
            <w:vAlign w:val="bottom"/>
            <w:hideMark/>
          </w:tcPr>
          <w:p w14:paraId="5D5C0AA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CMR_10</w:t>
            </w:r>
          </w:p>
        </w:tc>
        <w:tc>
          <w:tcPr>
            <w:tcW w:w="2551" w:type="dxa"/>
            <w:shd w:val="clear" w:color="auto" w:fill="auto"/>
            <w:noWrap/>
            <w:vAlign w:val="bottom"/>
            <w:hideMark/>
          </w:tcPr>
          <w:p w14:paraId="2F110EE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3C752E73"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Sud</w:t>
            </w:r>
            <w:proofErr w:type="spellEnd"/>
          </w:p>
        </w:tc>
      </w:tr>
      <w:tr w:rsidR="00A674EF" w:rsidRPr="00A674EF" w14:paraId="7850A280" w14:textId="77777777" w:rsidTr="00A674EF">
        <w:trPr>
          <w:trHeight w:val="288"/>
          <w:jc w:val="center"/>
        </w:trPr>
        <w:tc>
          <w:tcPr>
            <w:tcW w:w="1980" w:type="dxa"/>
            <w:shd w:val="clear" w:color="auto" w:fill="auto"/>
            <w:noWrap/>
            <w:vAlign w:val="bottom"/>
            <w:hideMark/>
          </w:tcPr>
          <w:p w14:paraId="37A8EF4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CMR_2</w:t>
            </w:r>
          </w:p>
        </w:tc>
        <w:tc>
          <w:tcPr>
            <w:tcW w:w="2551" w:type="dxa"/>
            <w:shd w:val="clear" w:color="auto" w:fill="auto"/>
            <w:noWrap/>
            <w:vAlign w:val="bottom"/>
            <w:hideMark/>
          </w:tcPr>
          <w:p w14:paraId="66F00E8B"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226ADA97"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Centre</w:t>
            </w:r>
          </w:p>
        </w:tc>
      </w:tr>
      <w:tr w:rsidR="00A674EF" w:rsidRPr="00A674EF" w14:paraId="4607539E" w14:textId="77777777" w:rsidTr="00A674EF">
        <w:trPr>
          <w:trHeight w:val="288"/>
          <w:jc w:val="center"/>
        </w:trPr>
        <w:tc>
          <w:tcPr>
            <w:tcW w:w="1980" w:type="dxa"/>
            <w:shd w:val="clear" w:color="auto" w:fill="auto"/>
            <w:noWrap/>
            <w:vAlign w:val="bottom"/>
            <w:hideMark/>
          </w:tcPr>
          <w:p w14:paraId="48770BE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CMR_3</w:t>
            </w:r>
          </w:p>
        </w:tc>
        <w:tc>
          <w:tcPr>
            <w:tcW w:w="2551" w:type="dxa"/>
            <w:shd w:val="clear" w:color="auto" w:fill="auto"/>
            <w:noWrap/>
            <w:vAlign w:val="bottom"/>
            <w:hideMark/>
          </w:tcPr>
          <w:p w14:paraId="1A114DA7"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24DCCF3E"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Est</w:t>
            </w:r>
          </w:p>
        </w:tc>
      </w:tr>
      <w:tr w:rsidR="00A674EF" w:rsidRPr="00A674EF" w14:paraId="472EFC2C" w14:textId="77777777" w:rsidTr="00A674EF">
        <w:trPr>
          <w:trHeight w:val="288"/>
          <w:jc w:val="center"/>
        </w:trPr>
        <w:tc>
          <w:tcPr>
            <w:tcW w:w="1980" w:type="dxa"/>
            <w:shd w:val="clear" w:color="auto" w:fill="auto"/>
            <w:noWrap/>
            <w:vAlign w:val="bottom"/>
            <w:hideMark/>
          </w:tcPr>
          <w:p w14:paraId="221FA2E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CMR_5</w:t>
            </w:r>
          </w:p>
        </w:tc>
        <w:tc>
          <w:tcPr>
            <w:tcW w:w="2551" w:type="dxa"/>
            <w:shd w:val="clear" w:color="auto" w:fill="auto"/>
            <w:noWrap/>
            <w:vAlign w:val="bottom"/>
            <w:hideMark/>
          </w:tcPr>
          <w:p w14:paraId="32BA1F5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2951EE48"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Littoral</w:t>
            </w:r>
          </w:p>
        </w:tc>
      </w:tr>
      <w:tr w:rsidR="00A674EF" w:rsidRPr="00A674EF" w14:paraId="0A922BF8" w14:textId="77777777" w:rsidTr="00A674EF">
        <w:trPr>
          <w:trHeight w:val="288"/>
          <w:jc w:val="center"/>
        </w:trPr>
        <w:tc>
          <w:tcPr>
            <w:tcW w:w="1980" w:type="dxa"/>
            <w:shd w:val="clear" w:color="auto" w:fill="auto"/>
            <w:noWrap/>
            <w:vAlign w:val="bottom"/>
            <w:hideMark/>
          </w:tcPr>
          <w:p w14:paraId="708D10C7"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CMR_7</w:t>
            </w:r>
          </w:p>
        </w:tc>
        <w:tc>
          <w:tcPr>
            <w:tcW w:w="2551" w:type="dxa"/>
            <w:shd w:val="clear" w:color="auto" w:fill="auto"/>
            <w:noWrap/>
            <w:vAlign w:val="bottom"/>
            <w:hideMark/>
          </w:tcPr>
          <w:p w14:paraId="6EC9989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46F044F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Nord</w:t>
            </w:r>
          </w:p>
        </w:tc>
      </w:tr>
      <w:tr w:rsidR="00A674EF" w:rsidRPr="00A674EF" w14:paraId="49DA1C89" w14:textId="77777777" w:rsidTr="00A674EF">
        <w:trPr>
          <w:trHeight w:val="288"/>
          <w:jc w:val="center"/>
        </w:trPr>
        <w:tc>
          <w:tcPr>
            <w:tcW w:w="1980" w:type="dxa"/>
            <w:shd w:val="clear" w:color="auto" w:fill="auto"/>
            <w:noWrap/>
            <w:vAlign w:val="bottom"/>
            <w:hideMark/>
          </w:tcPr>
          <w:p w14:paraId="24AD8F1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CMR_8</w:t>
            </w:r>
          </w:p>
        </w:tc>
        <w:tc>
          <w:tcPr>
            <w:tcW w:w="2551" w:type="dxa"/>
            <w:shd w:val="clear" w:color="auto" w:fill="auto"/>
            <w:noWrap/>
            <w:vAlign w:val="bottom"/>
            <w:hideMark/>
          </w:tcPr>
          <w:p w14:paraId="3156BEC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67E15080"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Ouest</w:t>
            </w:r>
            <w:proofErr w:type="spellEnd"/>
          </w:p>
        </w:tc>
      </w:tr>
      <w:tr w:rsidR="00A674EF" w:rsidRPr="00A674EF" w14:paraId="7CBC4B63" w14:textId="77777777" w:rsidTr="00A674EF">
        <w:trPr>
          <w:trHeight w:val="288"/>
          <w:jc w:val="center"/>
        </w:trPr>
        <w:tc>
          <w:tcPr>
            <w:tcW w:w="1980" w:type="dxa"/>
            <w:shd w:val="clear" w:color="auto" w:fill="auto"/>
            <w:noWrap/>
            <w:vAlign w:val="bottom"/>
            <w:hideMark/>
          </w:tcPr>
          <w:p w14:paraId="4F858C0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CMR_9</w:t>
            </w:r>
          </w:p>
        </w:tc>
        <w:tc>
          <w:tcPr>
            <w:tcW w:w="2551" w:type="dxa"/>
            <w:shd w:val="clear" w:color="auto" w:fill="auto"/>
            <w:noWrap/>
            <w:vAlign w:val="bottom"/>
            <w:hideMark/>
          </w:tcPr>
          <w:p w14:paraId="515A0E0F"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Cameroon</w:t>
            </w:r>
          </w:p>
        </w:tc>
        <w:tc>
          <w:tcPr>
            <w:tcW w:w="2531" w:type="dxa"/>
            <w:shd w:val="clear" w:color="auto" w:fill="auto"/>
            <w:noWrap/>
            <w:vAlign w:val="bottom"/>
            <w:hideMark/>
          </w:tcPr>
          <w:p w14:paraId="06DA38A8"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Sud-Ouest</w:t>
            </w:r>
          </w:p>
        </w:tc>
      </w:tr>
      <w:tr w:rsidR="00A674EF" w:rsidRPr="00A674EF" w14:paraId="14DB93C0" w14:textId="77777777" w:rsidTr="00A674EF">
        <w:trPr>
          <w:trHeight w:val="288"/>
          <w:jc w:val="center"/>
        </w:trPr>
        <w:tc>
          <w:tcPr>
            <w:tcW w:w="1980" w:type="dxa"/>
            <w:shd w:val="clear" w:color="auto" w:fill="auto"/>
            <w:noWrap/>
            <w:vAlign w:val="bottom"/>
            <w:hideMark/>
          </w:tcPr>
          <w:p w14:paraId="5EA5044F"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GHA_1</w:t>
            </w:r>
          </w:p>
        </w:tc>
        <w:tc>
          <w:tcPr>
            <w:tcW w:w="2551" w:type="dxa"/>
            <w:shd w:val="clear" w:color="auto" w:fill="auto"/>
            <w:noWrap/>
            <w:vAlign w:val="bottom"/>
            <w:hideMark/>
          </w:tcPr>
          <w:p w14:paraId="7BA3218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Ghana</w:t>
            </w:r>
          </w:p>
        </w:tc>
        <w:tc>
          <w:tcPr>
            <w:tcW w:w="2531" w:type="dxa"/>
            <w:shd w:val="clear" w:color="auto" w:fill="auto"/>
            <w:noWrap/>
            <w:vAlign w:val="bottom"/>
            <w:hideMark/>
          </w:tcPr>
          <w:p w14:paraId="3C4A98F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Ashanti</w:t>
            </w:r>
          </w:p>
        </w:tc>
      </w:tr>
      <w:tr w:rsidR="00A674EF" w:rsidRPr="00A674EF" w14:paraId="12276249" w14:textId="77777777" w:rsidTr="00A674EF">
        <w:trPr>
          <w:trHeight w:val="288"/>
          <w:jc w:val="center"/>
        </w:trPr>
        <w:tc>
          <w:tcPr>
            <w:tcW w:w="1980" w:type="dxa"/>
            <w:shd w:val="clear" w:color="auto" w:fill="auto"/>
            <w:noWrap/>
            <w:vAlign w:val="bottom"/>
            <w:hideMark/>
          </w:tcPr>
          <w:p w14:paraId="46BFF9ED"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GHA_2</w:t>
            </w:r>
          </w:p>
        </w:tc>
        <w:tc>
          <w:tcPr>
            <w:tcW w:w="2551" w:type="dxa"/>
            <w:shd w:val="clear" w:color="auto" w:fill="auto"/>
            <w:noWrap/>
            <w:vAlign w:val="bottom"/>
            <w:hideMark/>
          </w:tcPr>
          <w:p w14:paraId="4DE3D662"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Ghana</w:t>
            </w:r>
          </w:p>
        </w:tc>
        <w:tc>
          <w:tcPr>
            <w:tcW w:w="2531" w:type="dxa"/>
            <w:shd w:val="clear" w:color="auto" w:fill="auto"/>
            <w:noWrap/>
            <w:vAlign w:val="bottom"/>
            <w:hideMark/>
          </w:tcPr>
          <w:p w14:paraId="38A44CE9"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Brong</w:t>
            </w:r>
            <w:proofErr w:type="spellEnd"/>
            <w:r w:rsidRPr="00A674EF">
              <w:rPr>
                <w:rFonts w:ascii="Calibri" w:eastAsia="Times New Roman" w:hAnsi="Calibri" w:cs="Calibri"/>
                <w:color w:val="000000"/>
                <w:lang w:val="en-GB" w:eastAsia="en-GB"/>
              </w:rPr>
              <w:t xml:space="preserve"> </w:t>
            </w:r>
            <w:proofErr w:type="spellStart"/>
            <w:r w:rsidRPr="00A674EF">
              <w:rPr>
                <w:rFonts w:ascii="Calibri" w:eastAsia="Times New Roman" w:hAnsi="Calibri" w:cs="Calibri"/>
                <w:color w:val="000000"/>
                <w:lang w:val="en-GB" w:eastAsia="en-GB"/>
              </w:rPr>
              <w:t>Ahafo</w:t>
            </w:r>
            <w:proofErr w:type="spellEnd"/>
          </w:p>
        </w:tc>
      </w:tr>
      <w:tr w:rsidR="00A674EF" w:rsidRPr="00A674EF" w14:paraId="56E028C9" w14:textId="77777777" w:rsidTr="00A674EF">
        <w:trPr>
          <w:trHeight w:val="288"/>
          <w:jc w:val="center"/>
        </w:trPr>
        <w:tc>
          <w:tcPr>
            <w:tcW w:w="1980" w:type="dxa"/>
            <w:shd w:val="clear" w:color="auto" w:fill="auto"/>
            <w:noWrap/>
            <w:vAlign w:val="bottom"/>
            <w:hideMark/>
          </w:tcPr>
          <w:p w14:paraId="0BF2439E"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GHA_7</w:t>
            </w:r>
          </w:p>
        </w:tc>
        <w:tc>
          <w:tcPr>
            <w:tcW w:w="2551" w:type="dxa"/>
            <w:shd w:val="clear" w:color="auto" w:fill="auto"/>
            <w:noWrap/>
            <w:vAlign w:val="bottom"/>
            <w:hideMark/>
          </w:tcPr>
          <w:p w14:paraId="6818C79B"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Ghana</w:t>
            </w:r>
          </w:p>
        </w:tc>
        <w:tc>
          <w:tcPr>
            <w:tcW w:w="2531" w:type="dxa"/>
            <w:shd w:val="clear" w:color="auto" w:fill="auto"/>
            <w:noWrap/>
            <w:vAlign w:val="bottom"/>
            <w:hideMark/>
          </w:tcPr>
          <w:p w14:paraId="19AE82E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Upper East</w:t>
            </w:r>
          </w:p>
        </w:tc>
      </w:tr>
      <w:tr w:rsidR="00A674EF" w:rsidRPr="00A674EF" w14:paraId="6A0B7D6D" w14:textId="77777777" w:rsidTr="00A674EF">
        <w:trPr>
          <w:trHeight w:val="288"/>
          <w:jc w:val="center"/>
        </w:trPr>
        <w:tc>
          <w:tcPr>
            <w:tcW w:w="1980" w:type="dxa"/>
            <w:shd w:val="clear" w:color="auto" w:fill="auto"/>
            <w:noWrap/>
            <w:vAlign w:val="bottom"/>
            <w:hideMark/>
          </w:tcPr>
          <w:p w14:paraId="70899D8E"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GHA_8</w:t>
            </w:r>
          </w:p>
        </w:tc>
        <w:tc>
          <w:tcPr>
            <w:tcW w:w="2551" w:type="dxa"/>
            <w:shd w:val="clear" w:color="auto" w:fill="auto"/>
            <w:noWrap/>
            <w:vAlign w:val="bottom"/>
            <w:hideMark/>
          </w:tcPr>
          <w:p w14:paraId="6A6E380F"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Ghana</w:t>
            </w:r>
          </w:p>
        </w:tc>
        <w:tc>
          <w:tcPr>
            <w:tcW w:w="2531" w:type="dxa"/>
            <w:shd w:val="clear" w:color="auto" w:fill="auto"/>
            <w:noWrap/>
            <w:vAlign w:val="bottom"/>
            <w:hideMark/>
          </w:tcPr>
          <w:p w14:paraId="216991CF"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Upper West</w:t>
            </w:r>
          </w:p>
        </w:tc>
      </w:tr>
      <w:tr w:rsidR="00A674EF" w:rsidRPr="00A674EF" w14:paraId="42D59BE8" w14:textId="77777777" w:rsidTr="00A674EF">
        <w:trPr>
          <w:trHeight w:val="288"/>
          <w:jc w:val="center"/>
        </w:trPr>
        <w:tc>
          <w:tcPr>
            <w:tcW w:w="1980" w:type="dxa"/>
            <w:shd w:val="clear" w:color="auto" w:fill="auto"/>
            <w:noWrap/>
            <w:vAlign w:val="bottom"/>
            <w:hideMark/>
          </w:tcPr>
          <w:p w14:paraId="55D7A686"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GIN_3</w:t>
            </w:r>
          </w:p>
        </w:tc>
        <w:tc>
          <w:tcPr>
            <w:tcW w:w="2551" w:type="dxa"/>
            <w:shd w:val="clear" w:color="auto" w:fill="auto"/>
            <w:noWrap/>
            <w:vAlign w:val="bottom"/>
            <w:hideMark/>
          </w:tcPr>
          <w:p w14:paraId="4D1C3A0C"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Guinea</w:t>
            </w:r>
          </w:p>
        </w:tc>
        <w:tc>
          <w:tcPr>
            <w:tcW w:w="2531" w:type="dxa"/>
            <w:shd w:val="clear" w:color="auto" w:fill="auto"/>
            <w:noWrap/>
            <w:vAlign w:val="bottom"/>
            <w:hideMark/>
          </w:tcPr>
          <w:p w14:paraId="4EEBB041"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Faranah</w:t>
            </w:r>
            <w:proofErr w:type="spellEnd"/>
          </w:p>
        </w:tc>
      </w:tr>
      <w:tr w:rsidR="00A674EF" w:rsidRPr="00A674EF" w14:paraId="342D3C23" w14:textId="77777777" w:rsidTr="00A674EF">
        <w:trPr>
          <w:trHeight w:val="288"/>
          <w:jc w:val="center"/>
        </w:trPr>
        <w:tc>
          <w:tcPr>
            <w:tcW w:w="1980" w:type="dxa"/>
            <w:shd w:val="clear" w:color="auto" w:fill="auto"/>
            <w:noWrap/>
            <w:vAlign w:val="bottom"/>
            <w:hideMark/>
          </w:tcPr>
          <w:p w14:paraId="17CAFB82"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GIN_4</w:t>
            </w:r>
          </w:p>
        </w:tc>
        <w:tc>
          <w:tcPr>
            <w:tcW w:w="2551" w:type="dxa"/>
            <w:shd w:val="clear" w:color="auto" w:fill="auto"/>
            <w:noWrap/>
            <w:vAlign w:val="bottom"/>
            <w:hideMark/>
          </w:tcPr>
          <w:p w14:paraId="611F771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Guinea</w:t>
            </w:r>
          </w:p>
        </w:tc>
        <w:tc>
          <w:tcPr>
            <w:tcW w:w="2531" w:type="dxa"/>
            <w:shd w:val="clear" w:color="auto" w:fill="auto"/>
            <w:noWrap/>
            <w:vAlign w:val="bottom"/>
            <w:hideMark/>
          </w:tcPr>
          <w:p w14:paraId="0F29083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Kankan</w:t>
            </w:r>
          </w:p>
        </w:tc>
      </w:tr>
      <w:tr w:rsidR="00A674EF" w:rsidRPr="00A674EF" w14:paraId="3F03E32F" w14:textId="77777777" w:rsidTr="00A674EF">
        <w:trPr>
          <w:trHeight w:val="288"/>
          <w:jc w:val="center"/>
        </w:trPr>
        <w:tc>
          <w:tcPr>
            <w:tcW w:w="1980" w:type="dxa"/>
            <w:shd w:val="clear" w:color="auto" w:fill="auto"/>
            <w:noWrap/>
            <w:vAlign w:val="bottom"/>
            <w:hideMark/>
          </w:tcPr>
          <w:p w14:paraId="4668E4D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GIN_8</w:t>
            </w:r>
          </w:p>
        </w:tc>
        <w:tc>
          <w:tcPr>
            <w:tcW w:w="2551" w:type="dxa"/>
            <w:shd w:val="clear" w:color="auto" w:fill="auto"/>
            <w:noWrap/>
            <w:vAlign w:val="bottom"/>
            <w:hideMark/>
          </w:tcPr>
          <w:p w14:paraId="41206CBE"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Guinea</w:t>
            </w:r>
          </w:p>
        </w:tc>
        <w:tc>
          <w:tcPr>
            <w:tcW w:w="2531" w:type="dxa"/>
            <w:shd w:val="clear" w:color="auto" w:fill="auto"/>
            <w:noWrap/>
            <w:vAlign w:val="bottom"/>
            <w:hideMark/>
          </w:tcPr>
          <w:p w14:paraId="13F87DEF"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Nzérékoré</w:t>
            </w:r>
            <w:proofErr w:type="spellEnd"/>
          </w:p>
        </w:tc>
      </w:tr>
      <w:tr w:rsidR="00A674EF" w:rsidRPr="00A674EF" w14:paraId="305172BF" w14:textId="77777777" w:rsidTr="00A674EF">
        <w:trPr>
          <w:trHeight w:val="288"/>
          <w:jc w:val="center"/>
        </w:trPr>
        <w:tc>
          <w:tcPr>
            <w:tcW w:w="1980" w:type="dxa"/>
            <w:shd w:val="clear" w:color="auto" w:fill="auto"/>
            <w:noWrap/>
            <w:vAlign w:val="bottom"/>
            <w:hideMark/>
          </w:tcPr>
          <w:p w14:paraId="132F661B"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LBR_12</w:t>
            </w:r>
          </w:p>
        </w:tc>
        <w:tc>
          <w:tcPr>
            <w:tcW w:w="2551" w:type="dxa"/>
            <w:shd w:val="clear" w:color="auto" w:fill="auto"/>
            <w:noWrap/>
            <w:vAlign w:val="bottom"/>
            <w:hideMark/>
          </w:tcPr>
          <w:p w14:paraId="1C6CE018"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Liberia</w:t>
            </w:r>
          </w:p>
        </w:tc>
        <w:tc>
          <w:tcPr>
            <w:tcW w:w="2531" w:type="dxa"/>
            <w:shd w:val="clear" w:color="auto" w:fill="auto"/>
            <w:noWrap/>
            <w:vAlign w:val="bottom"/>
            <w:hideMark/>
          </w:tcPr>
          <w:p w14:paraId="17DDBABC"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Nimba</w:t>
            </w:r>
            <w:proofErr w:type="spellEnd"/>
          </w:p>
        </w:tc>
      </w:tr>
      <w:tr w:rsidR="00A674EF" w:rsidRPr="00A674EF" w14:paraId="5983CB24" w14:textId="77777777" w:rsidTr="00A674EF">
        <w:trPr>
          <w:trHeight w:val="288"/>
          <w:jc w:val="center"/>
        </w:trPr>
        <w:tc>
          <w:tcPr>
            <w:tcW w:w="1980" w:type="dxa"/>
            <w:shd w:val="clear" w:color="auto" w:fill="auto"/>
            <w:noWrap/>
            <w:vAlign w:val="bottom"/>
            <w:hideMark/>
          </w:tcPr>
          <w:p w14:paraId="3FABE8EC"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MLI_5</w:t>
            </w:r>
          </w:p>
        </w:tc>
        <w:tc>
          <w:tcPr>
            <w:tcW w:w="2551" w:type="dxa"/>
            <w:shd w:val="clear" w:color="auto" w:fill="auto"/>
            <w:noWrap/>
            <w:vAlign w:val="bottom"/>
            <w:hideMark/>
          </w:tcPr>
          <w:p w14:paraId="41136FE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Mali</w:t>
            </w:r>
          </w:p>
        </w:tc>
        <w:tc>
          <w:tcPr>
            <w:tcW w:w="2531" w:type="dxa"/>
            <w:shd w:val="clear" w:color="auto" w:fill="auto"/>
            <w:noWrap/>
            <w:vAlign w:val="bottom"/>
            <w:hideMark/>
          </w:tcPr>
          <w:p w14:paraId="21B9371B"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Koulikoro</w:t>
            </w:r>
            <w:proofErr w:type="spellEnd"/>
          </w:p>
        </w:tc>
      </w:tr>
      <w:tr w:rsidR="00A674EF" w:rsidRPr="00A674EF" w14:paraId="4DD00D52" w14:textId="77777777" w:rsidTr="00A674EF">
        <w:trPr>
          <w:trHeight w:val="288"/>
          <w:jc w:val="center"/>
        </w:trPr>
        <w:tc>
          <w:tcPr>
            <w:tcW w:w="1980" w:type="dxa"/>
            <w:shd w:val="clear" w:color="auto" w:fill="auto"/>
            <w:noWrap/>
            <w:vAlign w:val="bottom"/>
            <w:hideMark/>
          </w:tcPr>
          <w:p w14:paraId="30151718"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MLI_8</w:t>
            </w:r>
          </w:p>
        </w:tc>
        <w:tc>
          <w:tcPr>
            <w:tcW w:w="2551" w:type="dxa"/>
            <w:shd w:val="clear" w:color="auto" w:fill="auto"/>
            <w:noWrap/>
            <w:vAlign w:val="bottom"/>
            <w:hideMark/>
          </w:tcPr>
          <w:p w14:paraId="3423C697"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Mali</w:t>
            </w:r>
          </w:p>
        </w:tc>
        <w:tc>
          <w:tcPr>
            <w:tcW w:w="2531" w:type="dxa"/>
            <w:shd w:val="clear" w:color="auto" w:fill="auto"/>
            <w:noWrap/>
            <w:vAlign w:val="bottom"/>
            <w:hideMark/>
          </w:tcPr>
          <w:p w14:paraId="5B8664A6"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Sikasso</w:t>
            </w:r>
            <w:proofErr w:type="spellEnd"/>
          </w:p>
        </w:tc>
      </w:tr>
      <w:tr w:rsidR="00A674EF" w:rsidRPr="00A674EF" w14:paraId="63177CD8" w14:textId="77777777" w:rsidTr="00A674EF">
        <w:trPr>
          <w:trHeight w:val="288"/>
          <w:jc w:val="center"/>
        </w:trPr>
        <w:tc>
          <w:tcPr>
            <w:tcW w:w="1980" w:type="dxa"/>
            <w:shd w:val="clear" w:color="auto" w:fill="auto"/>
            <w:noWrap/>
            <w:vAlign w:val="bottom"/>
            <w:hideMark/>
          </w:tcPr>
          <w:p w14:paraId="419BD48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NGA_26</w:t>
            </w:r>
          </w:p>
        </w:tc>
        <w:tc>
          <w:tcPr>
            <w:tcW w:w="2551" w:type="dxa"/>
            <w:shd w:val="clear" w:color="auto" w:fill="auto"/>
            <w:noWrap/>
            <w:vAlign w:val="bottom"/>
            <w:hideMark/>
          </w:tcPr>
          <w:p w14:paraId="12356C21"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Nigeria</w:t>
            </w:r>
          </w:p>
        </w:tc>
        <w:tc>
          <w:tcPr>
            <w:tcW w:w="2531" w:type="dxa"/>
            <w:shd w:val="clear" w:color="auto" w:fill="auto"/>
            <w:noWrap/>
            <w:vAlign w:val="bottom"/>
            <w:hideMark/>
          </w:tcPr>
          <w:p w14:paraId="2681F818"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Nassarawa</w:t>
            </w:r>
            <w:proofErr w:type="spellEnd"/>
          </w:p>
        </w:tc>
      </w:tr>
      <w:tr w:rsidR="00A674EF" w:rsidRPr="00A674EF" w14:paraId="43B201EB" w14:textId="77777777" w:rsidTr="00A674EF">
        <w:trPr>
          <w:trHeight w:val="288"/>
          <w:jc w:val="center"/>
        </w:trPr>
        <w:tc>
          <w:tcPr>
            <w:tcW w:w="1980" w:type="dxa"/>
            <w:shd w:val="clear" w:color="auto" w:fill="auto"/>
            <w:noWrap/>
            <w:vAlign w:val="bottom"/>
            <w:hideMark/>
          </w:tcPr>
          <w:p w14:paraId="171D594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SDN_2</w:t>
            </w:r>
          </w:p>
        </w:tc>
        <w:tc>
          <w:tcPr>
            <w:tcW w:w="2551" w:type="dxa"/>
            <w:shd w:val="clear" w:color="auto" w:fill="auto"/>
            <w:noWrap/>
            <w:vAlign w:val="bottom"/>
            <w:hideMark/>
          </w:tcPr>
          <w:p w14:paraId="5BF7382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Sudan</w:t>
            </w:r>
          </w:p>
        </w:tc>
        <w:tc>
          <w:tcPr>
            <w:tcW w:w="2531" w:type="dxa"/>
            <w:shd w:val="clear" w:color="auto" w:fill="auto"/>
            <w:noWrap/>
            <w:vAlign w:val="bottom"/>
            <w:hideMark/>
          </w:tcPr>
          <w:p w14:paraId="3632534A"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Darfur</w:t>
            </w:r>
          </w:p>
        </w:tc>
      </w:tr>
      <w:tr w:rsidR="00A674EF" w:rsidRPr="00A674EF" w14:paraId="2F104B6E" w14:textId="77777777" w:rsidTr="00A674EF">
        <w:trPr>
          <w:trHeight w:val="288"/>
          <w:jc w:val="center"/>
        </w:trPr>
        <w:tc>
          <w:tcPr>
            <w:tcW w:w="1980" w:type="dxa"/>
            <w:shd w:val="clear" w:color="auto" w:fill="auto"/>
            <w:noWrap/>
            <w:vAlign w:val="bottom"/>
            <w:hideMark/>
          </w:tcPr>
          <w:p w14:paraId="1F006B84"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SDN_5</w:t>
            </w:r>
          </w:p>
        </w:tc>
        <w:tc>
          <w:tcPr>
            <w:tcW w:w="2551" w:type="dxa"/>
            <w:shd w:val="clear" w:color="auto" w:fill="auto"/>
            <w:noWrap/>
            <w:vAlign w:val="bottom"/>
            <w:hideMark/>
          </w:tcPr>
          <w:p w14:paraId="6E2963F1"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Sudan</w:t>
            </w:r>
          </w:p>
        </w:tc>
        <w:tc>
          <w:tcPr>
            <w:tcW w:w="2531" w:type="dxa"/>
            <w:shd w:val="clear" w:color="auto" w:fill="auto"/>
            <w:noWrap/>
            <w:vAlign w:val="bottom"/>
            <w:hideMark/>
          </w:tcPr>
          <w:p w14:paraId="44EC0F35"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Kordofan</w:t>
            </w:r>
            <w:proofErr w:type="spellEnd"/>
          </w:p>
        </w:tc>
      </w:tr>
      <w:tr w:rsidR="00A674EF" w:rsidRPr="00A674EF" w14:paraId="406867F9" w14:textId="77777777" w:rsidTr="00A674EF">
        <w:trPr>
          <w:trHeight w:val="288"/>
          <w:jc w:val="center"/>
        </w:trPr>
        <w:tc>
          <w:tcPr>
            <w:tcW w:w="1980" w:type="dxa"/>
            <w:shd w:val="clear" w:color="auto" w:fill="auto"/>
            <w:noWrap/>
            <w:vAlign w:val="bottom"/>
            <w:hideMark/>
          </w:tcPr>
          <w:p w14:paraId="1F2A995F"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SEN_10</w:t>
            </w:r>
          </w:p>
        </w:tc>
        <w:tc>
          <w:tcPr>
            <w:tcW w:w="2551" w:type="dxa"/>
            <w:shd w:val="clear" w:color="auto" w:fill="auto"/>
            <w:noWrap/>
            <w:vAlign w:val="bottom"/>
            <w:hideMark/>
          </w:tcPr>
          <w:p w14:paraId="404AA642"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Senegal</w:t>
            </w:r>
          </w:p>
        </w:tc>
        <w:tc>
          <w:tcPr>
            <w:tcW w:w="2531" w:type="dxa"/>
            <w:shd w:val="clear" w:color="auto" w:fill="auto"/>
            <w:noWrap/>
            <w:vAlign w:val="bottom"/>
            <w:hideMark/>
          </w:tcPr>
          <w:p w14:paraId="0AD8F62A"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Thiès</w:t>
            </w:r>
            <w:proofErr w:type="spellEnd"/>
          </w:p>
        </w:tc>
      </w:tr>
      <w:tr w:rsidR="00A674EF" w:rsidRPr="00A674EF" w14:paraId="2A95E7EB" w14:textId="77777777" w:rsidTr="00A674EF">
        <w:trPr>
          <w:trHeight w:val="288"/>
          <w:jc w:val="center"/>
        </w:trPr>
        <w:tc>
          <w:tcPr>
            <w:tcW w:w="1980" w:type="dxa"/>
            <w:shd w:val="clear" w:color="auto" w:fill="auto"/>
            <w:noWrap/>
            <w:vAlign w:val="bottom"/>
            <w:hideMark/>
          </w:tcPr>
          <w:p w14:paraId="00699693"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SEN_9</w:t>
            </w:r>
          </w:p>
        </w:tc>
        <w:tc>
          <w:tcPr>
            <w:tcW w:w="2551" w:type="dxa"/>
            <w:shd w:val="clear" w:color="auto" w:fill="auto"/>
            <w:noWrap/>
            <w:vAlign w:val="bottom"/>
            <w:hideMark/>
          </w:tcPr>
          <w:p w14:paraId="6DC23415"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Senegal</w:t>
            </w:r>
          </w:p>
        </w:tc>
        <w:tc>
          <w:tcPr>
            <w:tcW w:w="2531" w:type="dxa"/>
            <w:shd w:val="clear" w:color="auto" w:fill="auto"/>
            <w:noWrap/>
            <w:vAlign w:val="bottom"/>
            <w:hideMark/>
          </w:tcPr>
          <w:p w14:paraId="4E54E9B0" w14:textId="77777777" w:rsidR="00A674EF" w:rsidRPr="00A674EF" w:rsidRDefault="00A674EF" w:rsidP="00A674EF">
            <w:pPr>
              <w:spacing w:after="0" w:line="240" w:lineRule="auto"/>
              <w:rPr>
                <w:rFonts w:ascii="Calibri" w:eastAsia="Times New Roman" w:hAnsi="Calibri" w:cs="Calibri"/>
                <w:color w:val="000000"/>
                <w:lang w:val="en-GB" w:eastAsia="en-GB"/>
              </w:rPr>
            </w:pPr>
            <w:proofErr w:type="spellStart"/>
            <w:r w:rsidRPr="00A674EF">
              <w:rPr>
                <w:rFonts w:ascii="Calibri" w:eastAsia="Times New Roman" w:hAnsi="Calibri" w:cs="Calibri"/>
                <w:color w:val="000000"/>
                <w:lang w:val="en-GB" w:eastAsia="en-GB"/>
              </w:rPr>
              <w:t>Tambacounda</w:t>
            </w:r>
            <w:proofErr w:type="spellEnd"/>
          </w:p>
        </w:tc>
      </w:tr>
      <w:tr w:rsidR="00A674EF" w:rsidRPr="00A674EF" w14:paraId="3E57E32E" w14:textId="77777777" w:rsidTr="00A674EF">
        <w:trPr>
          <w:trHeight w:val="288"/>
          <w:jc w:val="center"/>
        </w:trPr>
        <w:tc>
          <w:tcPr>
            <w:tcW w:w="1980" w:type="dxa"/>
            <w:shd w:val="clear" w:color="auto" w:fill="auto"/>
            <w:noWrap/>
            <w:vAlign w:val="bottom"/>
            <w:hideMark/>
          </w:tcPr>
          <w:p w14:paraId="53EEFA30"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TGO_3</w:t>
            </w:r>
          </w:p>
        </w:tc>
        <w:tc>
          <w:tcPr>
            <w:tcW w:w="2551" w:type="dxa"/>
            <w:shd w:val="clear" w:color="auto" w:fill="auto"/>
            <w:noWrap/>
            <w:vAlign w:val="bottom"/>
            <w:hideMark/>
          </w:tcPr>
          <w:p w14:paraId="1200D8C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Togo</w:t>
            </w:r>
          </w:p>
        </w:tc>
        <w:tc>
          <w:tcPr>
            <w:tcW w:w="2531" w:type="dxa"/>
            <w:shd w:val="clear" w:color="auto" w:fill="auto"/>
            <w:noWrap/>
            <w:vAlign w:val="bottom"/>
            <w:hideMark/>
          </w:tcPr>
          <w:p w14:paraId="45894639" w14:textId="77777777" w:rsidR="00A674EF" w:rsidRPr="00A674EF" w:rsidRDefault="00A674EF" w:rsidP="00A674EF">
            <w:pPr>
              <w:spacing w:after="0" w:line="240" w:lineRule="auto"/>
              <w:rPr>
                <w:rFonts w:ascii="Calibri" w:eastAsia="Times New Roman" w:hAnsi="Calibri" w:cs="Calibri"/>
                <w:color w:val="000000"/>
                <w:lang w:val="en-GB" w:eastAsia="en-GB"/>
              </w:rPr>
            </w:pPr>
            <w:r w:rsidRPr="00A674EF">
              <w:rPr>
                <w:rFonts w:ascii="Calibri" w:eastAsia="Times New Roman" w:hAnsi="Calibri" w:cs="Calibri"/>
                <w:color w:val="000000"/>
                <w:lang w:val="en-GB" w:eastAsia="en-GB"/>
              </w:rPr>
              <w:t>Maritime</w:t>
            </w:r>
          </w:p>
        </w:tc>
      </w:tr>
    </w:tbl>
    <w:p w14:paraId="3268C9AC" w14:textId="619949F1" w:rsidR="00A674EF" w:rsidRDefault="00A674EF">
      <w:pPr>
        <w:rPr>
          <w:rFonts w:asciiTheme="majorHAnsi" w:hAnsiTheme="majorHAnsi" w:cstheme="majorHAnsi"/>
          <w:b/>
          <w:bCs/>
          <w:color w:val="000000"/>
          <w:sz w:val="24"/>
          <w:szCs w:val="24"/>
          <w:lang w:val="en-GB"/>
        </w:rPr>
      </w:pPr>
      <w:r>
        <w:rPr>
          <w:b/>
          <w:lang w:val="en-GB"/>
        </w:rPr>
        <w:t>Supplementary Table S2</w:t>
      </w:r>
      <w:r w:rsidRPr="00B4585C">
        <w:rPr>
          <w:b/>
          <w:lang w:val="en-GB"/>
        </w:rPr>
        <w:t xml:space="preserve">: </w:t>
      </w:r>
      <w:r w:rsidR="00805C04">
        <w:rPr>
          <w:lang w:val="en-GB"/>
        </w:rPr>
        <w:t>Correspondence table of provinces ISO codes from Figure 2 in the main text and complete country and province names</w:t>
      </w:r>
      <w:bookmarkStart w:id="0" w:name="_GoBack"/>
      <w:bookmarkEnd w:id="0"/>
      <w:r>
        <w:rPr>
          <w:lang w:val="en-GB"/>
        </w:rPr>
        <w:t>.</w:t>
      </w:r>
      <w:r>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br w:type="page"/>
      </w:r>
    </w:p>
    <w:p w14:paraId="2DD11376" w14:textId="3C8AC307" w:rsidR="003A63E8" w:rsidRPr="00AA3434" w:rsidRDefault="003A63E8" w:rsidP="003A63E8">
      <w:pPr>
        <w:rPr>
          <w:rFonts w:asciiTheme="majorHAnsi" w:hAnsiTheme="majorHAnsi" w:cstheme="majorHAnsi"/>
          <w:b/>
          <w:bCs/>
          <w:color w:val="000000"/>
          <w:sz w:val="24"/>
          <w:szCs w:val="24"/>
          <w:lang w:val="en-GB"/>
        </w:rPr>
      </w:pPr>
      <w:r w:rsidRPr="00AA3434">
        <w:rPr>
          <w:rFonts w:asciiTheme="majorHAnsi" w:hAnsiTheme="majorHAnsi" w:cstheme="majorHAnsi"/>
          <w:b/>
          <w:bCs/>
          <w:color w:val="000000"/>
          <w:sz w:val="24"/>
          <w:szCs w:val="24"/>
          <w:lang w:val="en-GB"/>
        </w:rPr>
        <w:lastRenderedPageBreak/>
        <w:t>Sup</w:t>
      </w:r>
      <w:r>
        <w:rPr>
          <w:rFonts w:asciiTheme="majorHAnsi" w:hAnsiTheme="majorHAnsi" w:cstheme="majorHAnsi"/>
          <w:b/>
          <w:bCs/>
          <w:color w:val="000000"/>
          <w:sz w:val="24"/>
          <w:szCs w:val="24"/>
          <w:lang w:val="en-GB"/>
        </w:rPr>
        <w:t>p</w:t>
      </w:r>
      <w:r w:rsidRPr="00AA3434">
        <w:rPr>
          <w:rFonts w:asciiTheme="majorHAnsi" w:hAnsiTheme="majorHAnsi" w:cstheme="majorHAnsi"/>
          <w:b/>
          <w:bCs/>
          <w:color w:val="000000"/>
          <w:sz w:val="24"/>
          <w:szCs w:val="24"/>
          <w:lang w:val="en-GB"/>
        </w:rPr>
        <w:t xml:space="preserve">lementary </w:t>
      </w:r>
      <w:r>
        <w:rPr>
          <w:rFonts w:asciiTheme="majorHAnsi" w:hAnsiTheme="majorHAnsi" w:cstheme="majorHAnsi"/>
          <w:b/>
          <w:bCs/>
          <w:color w:val="000000"/>
          <w:sz w:val="24"/>
          <w:szCs w:val="24"/>
          <w:lang w:val="en-GB"/>
        </w:rPr>
        <w:t xml:space="preserve">Figure </w:t>
      </w:r>
      <w:proofErr w:type="gramStart"/>
      <w:r>
        <w:rPr>
          <w:rFonts w:asciiTheme="majorHAnsi" w:hAnsiTheme="majorHAnsi" w:cstheme="majorHAnsi"/>
          <w:b/>
          <w:bCs/>
          <w:color w:val="000000"/>
          <w:sz w:val="24"/>
          <w:szCs w:val="24"/>
          <w:lang w:val="en-GB"/>
        </w:rPr>
        <w:t>S1</w:t>
      </w:r>
      <w:r w:rsidRPr="00AA3434">
        <w:rPr>
          <w:rFonts w:asciiTheme="majorHAnsi" w:hAnsiTheme="majorHAnsi" w:cstheme="majorHAnsi"/>
          <w:b/>
          <w:bCs/>
          <w:color w:val="000000"/>
          <w:sz w:val="24"/>
          <w:szCs w:val="24"/>
          <w:lang w:val="en-GB"/>
        </w:rPr>
        <w:t xml:space="preserve"> :</w:t>
      </w:r>
      <w:proofErr w:type="gramEnd"/>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 xml:space="preserve">Temporal trends in the </w:t>
      </w:r>
      <w:r w:rsidRPr="00D702B8">
        <w:rPr>
          <w:rFonts w:asciiTheme="majorHAnsi" w:hAnsiTheme="majorHAnsi" w:cstheme="majorHAnsi"/>
          <w:b/>
          <w:bCs/>
          <w:color w:val="000000"/>
          <w:sz w:val="24"/>
          <w:szCs w:val="24"/>
          <w:lang w:val="en-GB"/>
        </w:rPr>
        <w:t>estimate of population-level vaccination coverage in the study sample provinces.</w:t>
      </w:r>
    </w:p>
    <w:p w14:paraId="48E468F6" w14:textId="77777777" w:rsidR="003A63E8" w:rsidRDefault="003A63E8" w:rsidP="003A63E8">
      <w:pPr>
        <w:rPr>
          <w:lang w:val="en-GB"/>
        </w:rPr>
      </w:pPr>
      <w:r w:rsidRPr="006C382E">
        <w:rPr>
          <w:noProof/>
          <w:lang w:val="en-GB" w:eastAsia="en-GB"/>
        </w:rPr>
        <w:drawing>
          <wp:inline distT="0" distB="0" distL="0" distR="0" wp14:anchorId="53F2A8D4" wp14:editId="1F439FF7">
            <wp:extent cx="5760720" cy="3598874"/>
            <wp:effectExtent l="0" t="0" r="0" b="1905"/>
            <wp:docPr id="1" name="Image 1" descr="C:\Users\Kevin JEAN\Desktop\Recherche\YF_outbreak_impact\vac_cov_ev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 JEAN\Desktop\Recherche\YF_outbreak_impact\vac_cov_evo.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598874"/>
                    </a:xfrm>
                    <a:prstGeom prst="rect">
                      <a:avLst/>
                    </a:prstGeom>
                    <a:noFill/>
                    <a:ln>
                      <a:noFill/>
                    </a:ln>
                  </pic:spPr>
                </pic:pic>
              </a:graphicData>
            </a:graphic>
          </wp:inline>
        </w:drawing>
      </w:r>
    </w:p>
    <w:p w14:paraId="7D9B9010" w14:textId="4BDA7F51" w:rsidR="003A63E8" w:rsidRDefault="003A63E8" w:rsidP="003A63E8">
      <w:pPr>
        <w:rPr>
          <w:lang w:val="en-GB"/>
        </w:rPr>
      </w:pPr>
      <w:r w:rsidRPr="00570165">
        <w:rPr>
          <w:b/>
          <w:lang w:val="en-GB"/>
        </w:rPr>
        <w:t>Figure S1:</w:t>
      </w:r>
      <w:r>
        <w:rPr>
          <w:lang w:val="en-GB"/>
        </w:rPr>
        <w:t xml:space="preserve"> Temporal trend in the estimate of population-level vaccination coverage in 33 African provinces </w:t>
      </w:r>
      <w:r w:rsidRPr="00570165">
        <w:rPr>
          <w:lang w:val="en-GB"/>
        </w:rPr>
        <w:t xml:space="preserve">having experienced both YF outbreak and </w:t>
      </w:r>
      <w:r w:rsidR="00DB7F37">
        <w:rPr>
          <w:lang w:val="en-GB"/>
        </w:rPr>
        <w:t>the implementation of preventive mass vaccination campaigns</w:t>
      </w:r>
      <w:r w:rsidRPr="00570165">
        <w:rPr>
          <w:lang w:val="en-GB"/>
        </w:rPr>
        <w:t xml:space="preserve"> over the 2005-2018 study period</w:t>
      </w:r>
      <w:r>
        <w:rPr>
          <w:lang w:val="en-GB"/>
        </w:rPr>
        <w:t xml:space="preserve">. Each province is represented by a unique colour. </w:t>
      </w:r>
    </w:p>
    <w:p w14:paraId="70AEBA6F" w14:textId="0D02A67C" w:rsidR="003A63E8" w:rsidRDefault="003A63E8">
      <w:pPr>
        <w:rPr>
          <w:lang w:val="en-GB"/>
        </w:rPr>
      </w:pPr>
    </w:p>
    <w:p w14:paraId="57ED124D" w14:textId="77777777" w:rsidR="00661EC4" w:rsidRDefault="00374B96" w:rsidP="00661EC4">
      <w:pPr>
        <w:rPr>
          <w:rFonts w:asciiTheme="majorHAnsi" w:hAnsiTheme="majorHAnsi" w:cstheme="majorHAnsi"/>
          <w:b/>
          <w:bCs/>
          <w:color w:val="000000"/>
          <w:sz w:val="24"/>
          <w:szCs w:val="24"/>
          <w:lang w:val="en-GB"/>
        </w:rPr>
      </w:pPr>
      <w:r>
        <w:rPr>
          <w:lang w:val="en-GB"/>
        </w:rPr>
        <w:br w:type="page"/>
      </w:r>
      <w:r w:rsidR="00661EC4" w:rsidRPr="00AA3434">
        <w:rPr>
          <w:rFonts w:asciiTheme="majorHAnsi" w:hAnsiTheme="majorHAnsi" w:cstheme="majorHAnsi"/>
          <w:b/>
          <w:bCs/>
          <w:color w:val="000000"/>
          <w:sz w:val="24"/>
          <w:szCs w:val="24"/>
          <w:lang w:val="en-GB"/>
        </w:rPr>
        <w:lastRenderedPageBreak/>
        <w:t>Sup</w:t>
      </w:r>
      <w:r w:rsidR="00661EC4">
        <w:rPr>
          <w:rFonts w:asciiTheme="majorHAnsi" w:hAnsiTheme="majorHAnsi" w:cstheme="majorHAnsi"/>
          <w:b/>
          <w:bCs/>
          <w:color w:val="000000"/>
          <w:sz w:val="24"/>
          <w:szCs w:val="24"/>
          <w:lang w:val="en-GB"/>
        </w:rPr>
        <w:t>p</w:t>
      </w:r>
      <w:r w:rsidR="00661EC4" w:rsidRPr="00AA3434">
        <w:rPr>
          <w:rFonts w:asciiTheme="majorHAnsi" w:hAnsiTheme="majorHAnsi" w:cstheme="majorHAnsi"/>
          <w:b/>
          <w:bCs/>
          <w:color w:val="000000"/>
          <w:sz w:val="24"/>
          <w:szCs w:val="24"/>
          <w:lang w:val="en-GB"/>
        </w:rPr>
        <w:t xml:space="preserve">lementary </w:t>
      </w:r>
      <w:r w:rsidR="00661EC4">
        <w:rPr>
          <w:rFonts w:asciiTheme="majorHAnsi" w:hAnsiTheme="majorHAnsi" w:cstheme="majorHAnsi"/>
          <w:b/>
          <w:bCs/>
          <w:color w:val="000000"/>
          <w:sz w:val="24"/>
          <w:szCs w:val="24"/>
          <w:lang w:val="en-GB"/>
        </w:rPr>
        <w:t xml:space="preserve">Figure </w:t>
      </w:r>
      <w:proofErr w:type="gramStart"/>
      <w:r w:rsidR="00661EC4">
        <w:rPr>
          <w:rFonts w:asciiTheme="majorHAnsi" w:hAnsiTheme="majorHAnsi" w:cstheme="majorHAnsi"/>
          <w:b/>
          <w:bCs/>
          <w:color w:val="000000"/>
          <w:sz w:val="24"/>
          <w:szCs w:val="24"/>
          <w:lang w:val="en-GB"/>
        </w:rPr>
        <w:t>S2</w:t>
      </w:r>
      <w:r w:rsidR="00661EC4" w:rsidRPr="00AA3434">
        <w:rPr>
          <w:rFonts w:asciiTheme="majorHAnsi" w:hAnsiTheme="majorHAnsi" w:cstheme="majorHAnsi"/>
          <w:b/>
          <w:bCs/>
          <w:color w:val="000000"/>
          <w:sz w:val="24"/>
          <w:szCs w:val="24"/>
          <w:lang w:val="en-GB"/>
        </w:rPr>
        <w:t xml:space="preserve"> :</w:t>
      </w:r>
      <w:proofErr w:type="gramEnd"/>
      <w:r w:rsidR="00661EC4" w:rsidRPr="00AA3434">
        <w:rPr>
          <w:rFonts w:asciiTheme="majorHAnsi" w:hAnsiTheme="majorHAnsi" w:cstheme="majorHAnsi"/>
          <w:b/>
          <w:bCs/>
          <w:color w:val="000000"/>
          <w:sz w:val="24"/>
          <w:szCs w:val="24"/>
          <w:lang w:val="en-GB"/>
        </w:rPr>
        <w:t xml:space="preserve"> </w:t>
      </w:r>
      <w:r w:rsidR="00661EC4">
        <w:rPr>
          <w:rFonts w:asciiTheme="majorHAnsi" w:hAnsiTheme="majorHAnsi" w:cstheme="majorHAnsi"/>
          <w:b/>
          <w:bCs/>
          <w:color w:val="000000"/>
          <w:sz w:val="24"/>
          <w:szCs w:val="24"/>
          <w:lang w:val="en-GB"/>
        </w:rPr>
        <w:t>Distribution of the difference in the population-level vaccination coverage between the post and the pre-PMVC periods</w:t>
      </w:r>
      <w:r w:rsidR="00661EC4" w:rsidRPr="00D702B8">
        <w:rPr>
          <w:rFonts w:asciiTheme="majorHAnsi" w:hAnsiTheme="majorHAnsi" w:cstheme="majorHAnsi"/>
          <w:b/>
          <w:bCs/>
          <w:color w:val="000000"/>
          <w:sz w:val="24"/>
          <w:szCs w:val="24"/>
          <w:lang w:val="en-GB"/>
        </w:rPr>
        <w:t>.</w:t>
      </w:r>
    </w:p>
    <w:p w14:paraId="3CE40723" w14:textId="77777777" w:rsidR="00661EC4" w:rsidRDefault="00661EC4" w:rsidP="00661EC4">
      <w:pPr>
        <w:rPr>
          <w:rFonts w:asciiTheme="majorHAnsi" w:hAnsiTheme="majorHAnsi" w:cstheme="majorHAnsi"/>
          <w:b/>
          <w:bCs/>
          <w:color w:val="000000"/>
          <w:sz w:val="24"/>
          <w:szCs w:val="24"/>
          <w:lang w:val="en-GB"/>
        </w:rPr>
      </w:pPr>
    </w:p>
    <w:p w14:paraId="12F2AA86" w14:textId="3184F3F5" w:rsidR="00661EC4" w:rsidRPr="00AA3434" w:rsidRDefault="00661EC4" w:rsidP="00661EC4">
      <w:pPr>
        <w:rPr>
          <w:rFonts w:asciiTheme="majorHAnsi" w:hAnsiTheme="majorHAnsi" w:cstheme="majorHAnsi"/>
          <w:b/>
          <w:bCs/>
          <w:color w:val="000000"/>
          <w:sz w:val="24"/>
          <w:szCs w:val="24"/>
          <w:lang w:val="en-GB"/>
        </w:rPr>
      </w:pPr>
      <w:r>
        <w:rPr>
          <w:noProof/>
          <w:lang w:val="en-GB" w:eastAsia="en-GB"/>
        </w:rPr>
        <w:drawing>
          <wp:inline distT="0" distB="0" distL="0" distR="0" wp14:anchorId="0284A43C" wp14:editId="359D4533">
            <wp:extent cx="5760720" cy="3359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359150"/>
                    </a:xfrm>
                    <a:prstGeom prst="rect">
                      <a:avLst/>
                    </a:prstGeom>
                  </pic:spPr>
                </pic:pic>
              </a:graphicData>
            </a:graphic>
          </wp:inline>
        </w:drawing>
      </w:r>
      <w:r w:rsidRPr="00130F5E">
        <w:rPr>
          <w:rFonts w:asciiTheme="majorHAnsi" w:hAnsiTheme="majorHAnsi" w:cstheme="majorHAnsi"/>
          <w:b/>
          <w:bCs/>
          <w:color w:val="000000"/>
          <w:sz w:val="24"/>
          <w:szCs w:val="24"/>
          <w:lang w:val="en-GB"/>
        </w:rPr>
        <w:t xml:space="preserve"> </w:t>
      </w:r>
      <w:r w:rsidRPr="00130F5E">
        <w:rPr>
          <w:rFonts w:cstheme="minorHAnsi"/>
          <w:b/>
          <w:bCs/>
          <w:color w:val="000000"/>
          <w:lang w:val="en-GB"/>
        </w:rPr>
        <w:t>Figure S2:</w:t>
      </w:r>
      <w:r w:rsidRPr="00130F5E">
        <w:rPr>
          <w:rFonts w:cstheme="minorHAnsi"/>
          <w:bCs/>
          <w:color w:val="000000"/>
          <w:lang w:val="en-GB"/>
        </w:rPr>
        <w:t xml:space="preserve"> Distribution of the difference in the population-level vaccination coverage between the post and the pre-PMVC periods</w:t>
      </w:r>
      <w:r>
        <w:rPr>
          <w:rFonts w:cstheme="minorHAnsi"/>
          <w:bCs/>
          <w:color w:val="000000"/>
          <w:lang w:val="en-GB"/>
        </w:rPr>
        <w:t>. PMVC: preventive mass vaccination campaign.</w:t>
      </w:r>
    </w:p>
    <w:p w14:paraId="58C982A2" w14:textId="77777777" w:rsidR="00CE1C5D" w:rsidRDefault="00CE1C5D">
      <w:pPr>
        <w:rPr>
          <w:lang w:val="en-GB"/>
        </w:rPr>
        <w:sectPr w:rsidR="00CE1C5D">
          <w:footerReference w:type="default" r:id="rId9"/>
          <w:pgSz w:w="11906" w:h="16838"/>
          <w:pgMar w:top="1417" w:right="1417" w:bottom="1417" w:left="1417" w:header="708" w:footer="708" w:gutter="0"/>
          <w:cols w:space="708"/>
          <w:docGrid w:linePitch="360"/>
        </w:sectPr>
      </w:pPr>
    </w:p>
    <w:p w14:paraId="0CD0E28E" w14:textId="2D1854E4" w:rsidR="00CE1C5D" w:rsidRDefault="00CE1C5D" w:rsidP="00CE1C5D">
      <w:pPr>
        <w:rPr>
          <w:rFonts w:asciiTheme="majorHAnsi" w:hAnsiTheme="majorHAnsi" w:cstheme="majorHAnsi"/>
          <w:b/>
          <w:bCs/>
          <w:color w:val="000000"/>
          <w:sz w:val="24"/>
          <w:szCs w:val="24"/>
          <w:lang w:val="en-GB"/>
        </w:rPr>
      </w:pPr>
      <w:r>
        <w:rPr>
          <w:rFonts w:asciiTheme="majorHAnsi" w:hAnsiTheme="majorHAnsi" w:cstheme="majorHAnsi"/>
          <w:b/>
          <w:bCs/>
          <w:color w:val="000000"/>
          <w:sz w:val="24"/>
          <w:szCs w:val="24"/>
          <w:lang w:val="en-GB"/>
        </w:rPr>
        <w:lastRenderedPageBreak/>
        <w:t>Supplementary Tables S</w:t>
      </w:r>
      <w:r w:rsidR="00202009">
        <w:rPr>
          <w:rFonts w:asciiTheme="majorHAnsi" w:hAnsiTheme="majorHAnsi" w:cstheme="majorHAnsi"/>
          <w:b/>
          <w:bCs/>
          <w:color w:val="000000"/>
          <w:sz w:val="24"/>
          <w:szCs w:val="24"/>
          <w:lang w:val="en-GB"/>
        </w:rPr>
        <w:t>3</w:t>
      </w:r>
      <w:r w:rsidRPr="00AA3434">
        <w:rPr>
          <w:rFonts w:asciiTheme="majorHAnsi" w:hAnsiTheme="majorHAnsi" w:cstheme="majorHAnsi"/>
          <w:b/>
          <w:bCs/>
          <w:color w:val="000000"/>
          <w:sz w:val="24"/>
          <w:szCs w:val="24"/>
          <w:lang w:val="en-GB"/>
        </w:rPr>
        <w:t xml:space="preserve"> </w:t>
      </w:r>
      <w:r w:rsidR="00B85B0B">
        <w:rPr>
          <w:rFonts w:asciiTheme="majorHAnsi" w:hAnsiTheme="majorHAnsi" w:cstheme="majorHAnsi"/>
          <w:b/>
          <w:bCs/>
          <w:color w:val="000000"/>
          <w:sz w:val="24"/>
          <w:szCs w:val="24"/>
          <w:lang w:val="en-GB"/>
        </w:rPr>
        <w:t>and S</w:t>
      </w:r>
      <w:r w:rsidR="00202009">
        <w:rPr>
          <w:rFonts w:asciiTheme="majorHAnsi" w:hAnsiTheme="majorHAnsi" w:cstheme="majorHAnsi"/>
          <w:b/>
          <w:bCs/>
          <w:color w:val="000000"/>
          <w:sz w:val="24"/>
          <w:szCs w:val="24"/>
          <w:lang w:val="en-GB"/>
        </w:rPr>
        <w:t>4</w:t>
      </w:r>
      <w:r>
        <w:rPr>
          <w:rFonts w:asciiTheme="majorHAnsi" w:hAnsiTheme="majorHAnsi" w:cstheme="majorHAnsi"/>
          <w:b/>
          <w:bCs/>
          <w:color w:val="000000"/>
          <w:sz w:val="24"/>
          <w:szCs w:val="24"/>
          <w:lang w:val="en-GB"/>
        </w:rPr>
        <w:t>:</w:t>
      </w:r>
      <w:r w:rsidRPr="00AA3434">
        <w:rPr>
          <w:rFonts w:asciiTheme="majorHAnsi" w:hAnsiTheme="majorHAnsi" w:cstheme="majorHAnsi"/>
          <w:b/>
          <w:bCs/>
          <w:color w:val="000000"/>
          <w:sz w:val="24"/>
          <w:szCs w:val="24"/>
          <w:lang w:val="en-GB"/>
        </w:rPr>
        <w:t xml:space="preserve"> </w:t>
      </w:r>
      <w:r w:rsidR="00B85B0B" w:rsidRPr="00B85B0B">
        <w:rPr>
          <w:rFonts w:asciiTheme="majorHAnsi" w:hAnsiTheme="majorHAnsi" w:cstheme="majorHAnsi"/>
          <w:b/>
          <w:bCs/>
          <w:color w:val="000000"/>
          <w:sz w:val="24"/>
          <w:szCs w:val="24"/>
          <w:lang w:val="en-GB"/>
        </w:rPr>
        <w:t xml:space="preserve">Sensitivity </w:t>
      </w:r>
      <w:r w:rsidR="00B85B0B">
        <w:rPr>
          <w:rFonts w:asciiTheme="majorHAnsi" w:hAnsiTheme="majorHAnsi" w:cstheme="majorHAnsi"/>
          <w:b/>
          <w:bCs/>
          <w:color w:val="000000"/>
          <w:sz w:val="24"/>
          <w:szCs w:val="24"/>
          <w:lang w:val="en-GB"/>
        </w:rPr>
        <w:t xml:space="preserve">analysis for </w:t>
      </w:r>
      <w:r w:rsidR="00B85B0B" w:rsidRPr="00B85B0B">
        <w:rPr>
          <w:rFonts w:asciiTheme="majorHAnsi" w:hAnsiTheme="majorHAnsi" w:cstheme="majorHAnsi"/>
          <w:b/>
          <w:bCs/>
          <w:color w:val="000000"/>
          <w:sz w:val="24"/>
          <w:szCs w:val="24"/>
          <w:lang w:val="en-GB"/>
        </w:rPr>
        <w:t xml:space="preserve">the self-controlled case-series method </w:t>
      </w:r>
    </w:p>
    <w:p w14:paraId="00AF0708" w14:textId="77777777" w:rsidR="004A546D" w:rsidRDefault="004A546D" w:rsidP="00CE1C5D">
      <w:pPr>
        <w:rPr>
          <w:rFonts w:asciiTheme="majorHAnsi" w:hAnsiTheme="majorHAnsi" w:cstheme="majorHAnsi"/>
          <w:b/>
          <w:bCs/>
          <w:color w:val="000000"/>
          <w:sz w:val="24"/>
          <w:szCs w:val="24"/>
          <w:lang w:val="en-GB"/>
        </w:rPr>
      </w:pPr>
    </w:p>
    <w:tbl>
      <w:tblPr>
        <w:tblStyle w:val="Grilledutableau"/>
        <w:tblW w:w="13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2268"/>
        <w:gridCol w:w="2268"/>
        <w:gridCol w:w="1198"/>
        <w:gridCol w:w="1334"/>
        <w:gridCol w:w="1668"/>
      </w:tblGrid>
      <w:tr w:rsidR="00CE1C5D" w:rsidRPr="00B85B0B" w14:paraId="0E9ADF40" w14:textId="77777777" w:rsidTr="00627B83">
        <w:tc>
          <w:tcPr>
            <w:tcW w:w="2552" w:type="dxa"/>
            <w:tcBorders>
              <w:bottom w:val="single" w:sz="4" w:space="0" w:color="auto"/>
            </w:tcBorders>
          </w:tcPr>
          <w:p w14:paraId="1EB1A227" w14:textId="77777777" w:rsidR="00CE1C5D" w:rsidRPr="006E299F" w:rsidRDefault="00CE1C5D" w:rsidP="003547A7">
            <w:pPr>
              <w:rPr>
                <w:b/>
                <w:lang w:val="en-GB"/>
              </w:rPr>
            </w:pPr>
            <w:r w:rsidRPr="006E299F">
              <w:rPr>
                <w:b/>
                <w:lang w:val="en-GB"/>
              </w:rPr>
              <w:t>Model</w:t>
            </w:r>
          </w:p>
        </w:tc>
        <w:tc>
          <w:tcPr>
            <w:tcW w:w="2268" w:type="dxa"/>
            <w:tcBorders>
              <w:bottom w:val="single" w:sz="4" w:space="0" w:color="auto"/>
            </w:tcBorders>
          </w:tcPr>
          <w:p w14:paraId="7487D2EC" w14:textId="30B5A6EB" w:rsidR="00CE1C5D" w:rsidRPr="00CE1C5D" w:rsidRDefault="00CE1C5D" w:rsidP="003547A7">
            <w:pPr>
              <w:rPr>
                <w:b/>
                <w:lang w:val="en-GB"/>
              </w:rPr>
            </w:pPr>
            <w:r w:rsidRPr="00CE1C5D">
              <w:rPr>
                <w:b/>
                <w:lang w:val="en-GB"/>
              </w:rPr>
              <w:t>Imputed date of outbreak when missing</w:t>
            </w:r>
            <w:r>
              <w:rPr>
                <w:b/>
                <w:lang w:val="en-GB"/>
              </w:rPr>
              <w:t xml:space="preserve"> (within the same year)</w:t>
            </w:r>
          </w:p>
        </w:tc>
        <w:tc>
          <w:tcPr>
            <w:tcW w:w="2268" w:type="dxa"/>
            <w:tcBorders>
              <w:bottom w:val="single" w:sz="4" w:space="0" w:color="auto"/>
            </w:tcBorders>
          </w:tcPr>
          <w:p w14:paraId="2D664CFE" w14:textId="32BF04E4" w:rsidR="00CE1C5D" w:rsidRPr="00CE1C5D" w:rsidRDefault="00CE1C5D" w:rsidP="00CE1C5D">
            <w:pPr>
              <w:rPr>
                <w:b/>
                <w:lang w:val="en-GB"/>
              </w:rPr>
            </w:pPr>
            <w:r w:rsidRPr="00CE1C5D">
              <w:rPr>
                <w:b/>
                <w:lang w:val="en-GB"/>
              </w:rPr>
              <w:t xml:space="preserve">Imputed date of </w:t>
            </w:r>
            <w:r>
              <w:rPr>
                <w:b/>
                <w:lang w:val="en-GB"/>
              </w:rPr>
              <w:t>PMVC</w:t>
            </w:r>
            <w:r w:rsidRPr="00CE1C5D">
              <w:rPr>
                <w:b/>
                <w:lang w:val="en-GB"/>
              </w:rPr>
              <w:t xml:space="preserve"> when missing</w:t>
            </w:r>
            <w:r>
              <w:rPr>
                <w:b/>
                <w:lang w:val="en-GB"/>
              </w:rPr>
              <w:t xml:space="preserve"> (within the same year)</w:t>
            </w:r>
          </w:p>
        </w:tc>
        <w:tc>
          <w:tcPr>
            <w:tcW w:w="2268" w:type="dxa"/>
            <w:tcBorders>
              <w:bottom w:val="single" w:sz="4" w:space="0" w:color="auto"/>
            </w:tcBorders>
          </w:tcPr>
          <w:p w14:paraId="1FA67A54" w14:textId="675B1CA1" w:rsidR="00CE1C5D" w:rsidRPr="006E299F" w:rsidRDefault="00CE1C5D" w:rsidP="003547A7">
            <w:pPr>
              <w:rPr>
                <w:b/>
                <w:lang w:val="en-GB"/>
              </w:rPr>
            </w:pPr>
            <w:r w:rsidRPr="006E299F">
              <w:rPr>
                <w:b/>
                <w:lang w:val="en-GB"/>
              </w:rPr>
              <w:t>Exposure category</w:t>
            </w:r>
          </w:p>
        </w:tc>
        <w:tc>
          <w:tcPr>
            <w:tcW w:w="1198" w:type="dxa"/>
            <w:tcBorders>
              <w:bottom w:val="single" w:sz="4" w:space="0" w:color="auto"/>
            </w:tcBorders>
          </w:tcPr>
          <w:p w14:paraId="50AF98EB" w14:textId="77777777" w:rsidR="00CE1C5D" w:rsidRPr="006E299F" w:rsidRDefault="00CE1C5D" w:rsidP="003547A7">
            <w:pPr>
              <w:rPr>
                <w:b/>
                <w:lang w:val="en-GB"/>
              </w:rPr>
            </w:pPr>
            <w:r w:rsidRPr="006E299F">
              <w:rPr>
                <w:b/>
                <w:lang w:val="en-GB"/>
              </w:rPr>
              <w:t>Number of events</w:t>
            </w:r>
          </w:p>
        </w:tc>
        <w:tc>
          <w:tcPr>
            <w:tcW w:w="1334" w:type="dxa"/>
            <w:tcBorders>
              <w:bottom w:val="single" w:sz="4" w:space="0" w:color="auto"/>
            </w:tcBorders>
          </w:tcPr>
          <w:p w14:paraId="7B8A563F" w14:textId="77777777" w:rsidR="00CE1C5D" w:rsidRPr="006E299F" w:rsidRDefault="00CE1C5D" w:rsidP="003547A7">
            <w:pPr>
              <w:rPr>
                <w:b/>
                <w:lang w:val="en-GB"/>
              </w:rPr>
            </w:pPr>
            <w:r w:rsidRPr="006E299F">
              <w:rPr>
                <w:b/>
                <w:lang w:val="en-GB"/>
              </w:rPr>
              <w:t>IRR*</w:t>
            </w:r>
          </w:p>
        </w:tc>
        <w:tc>
          <w:tcPr>
            <w:tcW w:w="1668" w:type="dxa"/>
            <w:tcBorders>
              <w:bottom w:val="single" w:sz="4" w:space="0" w:color="auto"/>
            </w:tcBorders>
          </w:tcPr>
          <w:p w14:paraId="051B97CA" w14:textId="77777777" w:rsidR="00CE1C5D" w:rsidRPr="006E299F" w:rsidRDefault="00CE1C5D" w:rsidP="003547A7">
            <w:pPr>
              <w:rPr>
                <w:b/>
                <w:lang w:val="en-GB"/>
              </w:rPr>
            </w:pPr>
            <w:r w:rsidRPr="006E299F">
              <w:rPr>
                <w:b/>
                <w:lang w:val="en-GB"/>
              </w:rPr>
              <w:t>95% confidence interval</w:t>
            </w:r>
          </w:p>
        </w:tc>
      </w:tr>
      <w:tr w:rsidR="00CE1C5D" w:rsidRPr="00B85B0B" w14:paraId="755F800E" w14:textId="77777777" w:rsidTr="00627B83">
        <w:tc>
          <w:tcPr>
            <w:tcW w:w="2552" w:type="dxa"/>
            <w:tcBorders>
              <w:top w:val="single" w:sz="4" w:space="0" w:color="auto"/>
              <w:bottom w:val="single" w:sz="4" w:space="0" w:color="auto"/>
            </w:tcBorders>
          </w:tcPr>
          <w:p w14:paraId="66735CEF" w14:textId="77777777" w:rsidR="00CE1C5D" w:rsidRPr="006E299F" w:rsidRDefault="00CE1C5D" w:rsidP="003547A7">
            <w:pPr>
              <w:rPr>
                <w:lang w:val="en-GB"/>
              </w:rPr>
            </w:pPr>
            <w:r w:rsidRPr="006E299F">
              <w:rPr>
                <w:lang w:val="en-GB"/>
              </w:rPr>
              <w:t>SCCS Model 1 (main analysis)</w:t>
            </w:r>
          </w:p>
        </w:tc>
        <w:tc>
          <w:tcPr>
            <w:tcW w:w="2268" w:type="dxa"/>
            <w:tcBorders>
              <w:top w:val="single" w:sz="4" w:space="0" w:color="auto"/>
              <w:bottom w:val="single" w:sz="4" w:space="0" w:color="auto"/>
            </w:tcBorders>
          </w:tcPr>
          <w:p w14:paraId="1D1BC9E7" w14:textId="095F0359" w:rsidR="00CE1C5D" w:rsidRPr="006E299F" w:rsidRDefault="00CE1C5D" w:rsidP="003547A7">
            <w:pPr>
              <w:rPr>
                <w:lang w:val="en-GB"/>
              </w:rPr>
            </w:pPr>
            <w:r w:rsidRPr="006E299F">
              <w:rPr>
                <w:lang w:val="en-GB"/>
              </w:rPr>
              <w:t>July, 1st</w:t>
            </w:r>
          </w:p>
        </w:tc>
        <w:tc>
          <w:tcPr>
            <w:tcW w:w="2268" w:type="dxa"/>
            <w:tcBorders>
              <w:top w:val="single" w:sz="4" w:space="0" w:color="auto"/>
              <w:bottom w:val="single" w:sz="4" w:space="0" w:color="auto"/>
            </w:tcBorders>
          </w:tcPr>
          <w:p w14:paraId="1AC8ACBF" w14:textId="77777777" w:rsidR="00CE1C5D" w:rsidRPr="006E299F" w:rsidRDefault="00CE1C5D" w:rsidP="003547A7">
            <w:pPr>
              <w:rPr>
                <w:lang w:val="en-GB"/>
              </w:rPr>
            </w:pPr>
            <w:r w:rsidRPr="006E299F">
              <w:rPr>
                <w:lang w:val="en-GB"/>
              </w:rPr>
              <w:t>Dec, 31st</w:t>
            </w:r>
          </w:p>
          <w:p w14:paraId="67EE1868" w14:textId="406C6E1A" w:rsidR="00CE1C5D" w:rsidRPr="006E299F" w:rsidRDefault="00CE1C5D" w:rsidP="003547A7">
            <w:pPr>
              <w:rPr>
                <w:lang w:val="en-GB"/>
              </w:rPr>
            </w:pPr>
          </w:p>
        </w:tc>
        <w:tc>
          <w:tcPr>
            <w:tcW w:w="2268" w:type="dxa"/>
            <w:tcBorders>
              <w:top w:val="single" w:sz="4" w:space="0" w:color="auto"/>
              <w:bottom w:val="single" w:sz="4" w:space="0" w:color="auto"/>
            </w:tcBorders>
          </w:tcPr>
          <w:p w14:paraId="72C12FFC" w14:textId="48A47375" w:rsidR="00CE1C5D" w:rsidRPr="006E299F" w:rsidRDefault="00CE1C5D" w:rsidP="003547A7">
            <w:pPr>
              <w:rPr>
                <w:lang w:val="en-GB"/>
              </w:rPr>
            </w:pPr>
            <w:r w:rsidRPr="006E299F">
              <w:rPr>
                <w:lang w:val="en-GB"/>
              </w:rPr>
              <w:t>Unexposed (Ref.)</w:t>
            </w:r>
          </w:p>
          <w:p w14:paraId="785ADDB7" w14:textId="77777777" w:rsidR="00CE1C5D" w:rsidRPr="006E299F" w:rsidRDefault="00CE1C5D" w:rsidP="003547A7">
            <w:pPr>
              <w:rPr>
                <w:lang w:val="en-GB"/>
              </w:rPr>
            </w:pPr>
            <w:r w:rsidRPr="006E299F">
              <w:rPr>
                <w:lang w:val="en-GB"/>
              </w:rPr>
              <w:t>Exposed</w:t>
            </w:r>
          </w:p>
        </w:tc>
        <w:tc>
          <w:tcPr>
            <w:tcW w:w="1198" w:type="dxa"/>
            <w:tcBorders>
              <w:top w:val="single" w:sz="4" w:space="0" w:color="auto"/>
              <w:bottom w:val="single" w:sz="4" w:space="0" w:color="auto"/>
            </w:tcBorders>
          </w:tcPr>
          <w:p w14:paraId="50F8A965" w14:textId="77777777" w:rsidR="00CE1C5D" w:rsidRPr="006E299F" w:rsidRDefault="00CE1C5D" w:rsidP="003547A7">
            <w:pPr>
              <w:rPr>
                <w:lang w:val="en-GB"/>
              </w:rPr>
            </w:pPr>
            <w:r w:rsidRPr="006E299F">
              <w:rPr>
                <w:lang w:val="en-GB"/>
              </w:rPr>
              <w:t>26</w:t>
            </w:r>
          </w:p>
          <w:p w14:paraId="6E876187" w14:textId="77777777" w:rsidR="00CE1C5D" w:rsidRPr="006E299F" w:rsidRDefault="00CE1C5D" w:rsidP="003547A7">
            <w:pPr>
              <w:rPr>
                <w:lang w:val="en-GB"/>
              </w:rPr>
            </w:pPr>
            <w:r w:rsidRPr="006E299F">
              <w:rPr>
                <w:lang w:val="en-GB"/>
              </w:rPr>
              <w:t>7</w:t>
            </w:r>
          </w:p>
        </w:tc>
        <w:tc>
          <w:tcPr>
            <w:tcW w:w="1334" w:type="dxa"/>
            <w:tcBorders>
              <w:top w:val="single" w:sz="4" w:space="0" w:color="auto"/>
              <w:bottom w:val="single" w:sz="4" w:space="0" w:color="auto"/>
            </w:tcBorders>
          </w:tcPr>
          <w:p w14:paraId="5AB57014" w14:textId="77777777" w:rsidR="00CE1C5D" w:rsidRPr="006E299F" w:rsidRDefault="00CE1C5D" w:rsidP="003547A7">
            <w:pPr>
              <w:rPr>
                <w:lang w:val="en-GB"/>
              </w:rPr>
            </w:pPr>
            <w:r w:rsidRPr="006E299F">
              <w:rPr>
                <w:lang w:val="en-GB"/>
              </w:rPr>
              <w:t>1.00</w:t>
            </w:r>
          </w:p>
          <w:p w14:paraId="7D9988CD" w14:textId="77777777" w:rsidR="00CE1C5D" w:rsidRPr="006E299F" w:rsidRDefault="00CE1C5D" w:rsidP="003547A7">
            <w:pPr>
              <w:rPr>
                <w:lang w:val="en-GB"/>
              </w:rPr>
            </w:pPr>
            <w:r w:rsidRPr="006E299F">
              <w:rPr>
                <w:lang w:val="en-GB"/>
              </w:rPr>
              <w:t>0.14</w:t>
            </w:r>
          </w:p>
        </w:tc>
        <w:tc>
          <w:tcPr>
            <w:tcW w:w="1668" w:type="dxa"/>
            <w:tcBorders>
              <w:top w:val="single" w:sz="4" w:space="0" w:color="auto"/>
              <w:bottom w:val="single" w:sz="4" w:space="0" w:color="auto"/>
            </w:tcBorders>
          </w:tcPr>
          <w:p w14:paraId="06222300" w14:textId="77777777" w:rsidR="00CE1C5D" w:rsidRPr="006E299F" w:rsidRDefault="00CE1C5D" w:rsidP="003547A7">
            <w:pPr>
              <w:rPr>
                <w:lang w:val="en-GB"/>
              </w:rPr>
            </w:pPr>
            <w:r w:rsidRPr="006E299F">
              <w:rPr>
                <w:lang w:val="en-GB"/>
              </w:rPr>
              <w:t>-</w:t>
            </w:r>
          </w:p>
          <w:p w14:paraId="66A57AA9" w14:textId="77777777" w:rsidR="00CE1C5D" w:rsidRPr="006E299F" w:rsidRDefault="00CE1C5D" w:rsidP="003547A7">
            <w:pPr>
              <w:rPr>
                <w:lang w:val="en-GB"/>
              </w:rPr>
            </w:pPr>
            <w:r w:rsidRPr="006E299F">
              <w:rPr>
                <w:lang w:val="en-GB"/>
              </w:rPr>
              <w:t>0.06-0.34</w:t>
            </w:r>
          </w:p>
        </w:tc>
      </w:tr>
      <w:tr w:rsidR="004A546D" w:rsidRPr="00B85B0B" w14:paraId="34F5C736" w14:textId="77777777" w:rsidTr="00627B83">
        <w:tc>
          <w:tcPr>
            <w:tcW w:w="2552" w:type="dxa"/>
            <w:tcBorders>
              <w:top w:val="single" w:sz="4" w:space="0" w:color="auto"/>
              <w:bottom w:val="single" w:sz="4" w:space="0" w:color="auto"/>
            </w:tcBorders>
          </w:tcPr>
          <w:p w14:paraId="45BD61A4" w14:textId="424030AB" w:rsidR="004A546D" w:rsidRPr="006E299F" w:rsidRDefault="00627B83" w:rsidP="004A546D">
            <w:pPr>
              <w:rPr>
                <w:lang w:val="en-GB"/>
              </w:rPr>
            </w:pPr>
            <w:r w:rsidRPr="006E299F">
              <w:rPr>
                <w:lang w:val="en-GB"/>
              </w:rPr>
              <w:t>Sensitivity analysis #1</w:t>
            </w:r>
          </w:p>
        </w:tc>
        <w:tc>
          <w:tcPr>
            <w:tcW w:w="2268" w:type="dxa"/>
            <w:tcBorders>
              <w:top w:val="single" w:sz="4" w:space="0" w:color="auto"/>
              <w:bottom w:val="single" w:sz="4" w:space="0" w:color="auto"/>
            </w:tcBorders>
          </w:tcPr>
          <w:p w14:paraId="0D579823" w14:textId="261763B4" w:rsidR="004A546D" w:rsidRPr="006E299F" w:rsidRDefault="004A546D" w:rsidP="004A546D">
            <w:pPr>
              <w:rPr>
                <w:lang w:val="en-GB"/>
              </w:rPr>
            </w:pPr>
            <w:r w:rsidRPr="006E299F">
              <w:rPr>
                <w:lang w:val="en-GB"/>
              </w:rPr>
              <w:t>July, 1st</w:t>
            </w:r>
          </w:p>
        </w:tc>
        <w:tc>
          <w:tcPr>
            <w:tcW w:w="2268" w:type="dxa"/>
            <w:tcBorders>
              <w:top w:val="single" w:sz="4" w:space="0" w:color="auto"/>
              <w:bottom w:val="single" w:sz="4" w:space="0" w:color="auto"/>
            </w:tcBorders>
          </w:tcPr>
          <w:p w14:paraId="74743C18" w14:textId="09F928CA" w:rsidR="004A546D" w:rsidRPr="006E299F" w:rsidRDefault="004A546D" w:rsidP="004A546D">
            <w:pPr>
              <w:rPr>
                <w:lang w:val="en-GB"/>
              </w:rPr>
            </w:pPr>
            <w:r w:rsidRPr="006E299F">
              <w:rPr>
                <w:lang w:val="en-GB"/>
              </w:rPr>
              <w:t>Jan, 1st</w:t>
            </w:r>
          </w:p>
        </w:tc>
        <w:tc>
          <w:tcPr>
            <w:tcW w:w="2268" w:type="dxa"/>
            <w:tcBorders>
              <w:top w:val="single" w:sz="4" w:space="0" w:color="auto"/>
              <w:bottom w:val="single" w:sz="4" w:space="0" w:color="auto"/>
            </w:tcBorders>
          </w:tcPr>
          <w:p w14:paraId="047C16C0" w14:textId="77777777" w:rsidR="004A546D" w:rsidRPr="006E299F" w:rsidRDefault="004A546D" w:rsidP="004A546D">
            <w:pPr>
              <w:rPr>
                <w:lang w:val="en-GB"/>
              </w:rPr>
            </w:pPr>
            <w:r w:rsidRPr="006E299F">
              <w:rPr>
                <w:lang w:val="en-GB"/>
              </w:rPr>
              <w:t>Unexposed (Ref.)</w:t>
            </w:r>
          </w:p>
          <w:p w14:paraId="2A326C91" w14:textId="27816C4A" w:rsidR="004A546D" w:rsidRPr="006E299F" w:rsidRDefault="004A546D" w:rsidP="004A546D">
            <w:pPr>
              <w:rPr>
                <w:lang w:val="en-GB"/>
              </w:rPr>
            </w:pPr>
            <w:r w:rsidRPr="006E299F">
              <w:rPr>
                <w:lang w:val="en-GB"/>
              </w:rPr>
              <w:t>Exposed</w:t>
            </w:r>
          </w:p>
        </w:tc>
        <w:tc>
          <w:tcPr>
            <w:tcW w:w="1198" w:type="dxa"/>
            <w:tcBorders>
              <w:top w:val="single" w:sz="4" w:space="0" w:color="auto"/>
              <w:bottom w:val="single" w:sz="4" w:space="0" w:color="auto"/>
            </w:tcBorders>
          </w:tcPr>
          <w:p w14:paraId="52B4815E" w14:textId="77777777" w:rsidR="004A546D" w:rsidRPr="006E299F" w:rsidRDefault="004A546D" w:rsidP="004A546D">
            <w:pPr>
              <w:rPr>
                <w:lang w:val="en-GB"/>
              </w:rPr>
            </w:pPr>
            <w:r w:rsidRPr="006E299F">
              <w:rPr>
                <w:lang w:val="en-GB"/>
              </w:rPr>
              <w:t>23</w:t>
            </w:r>
          </w:p>
          <w:p w14:paraId="6B7BB64A" w14:textId="11CE462F" w:rsidR="004A546D" w:rsidRPr="006E299F" w:rsidRDefault="004A546D" w:rsidP="004A546D">
            <w:pPr>
              <w:rPr>
                <w:lang w:val="en-GB"/>
              </w:rPr>
            </w:pPr>
            <w:r w:rsidRPr="006E299F">
              <w:rPr>
                <w:lang w:val="en-GB"/>
              </w:rPr>
              <w:t>10</w:t>
            </w:r>
          </w:p>
        </w:tc>
        <w:tc>
          <w:tcPr>
            <w:tcW w:w="1334" w:type="dxa"/>
            <w:tcBorders>
              <w:top w:val="single" w:sz="4" w:space="0" w:color="auto"/>
              <w:bottom w:val="single" w:sz="4" w:space="0" w:color="auto"/>
            </w:tcBorders>
          </w:tcPr>
          <w:p w14:paraId="59677B90" w14:textId="77777777" w:rsidR="004A546D" w:rsidRPr="006E299F" w:rsidRDefault="004A546D" w:rsidP="004A546D">
            <w:pPr>
              <w:rPr>
                <w:lang w:val="en-GB"/>
              </w:rPr>
            </w:pPr>
            <w:r w:rsidRPr="006E299F">
              <w:rPr>
                <w:lang w:val="en-GB"/>
              </w:rPr>
              <w:t>1.00</w:t>
            </w:r>
          </w:p>
          <w:p w14:paraId="040D16E5" w14:textId="439562ED" w:rsidR="004A546D" w:rsidRPr="006E299F" w:rsidRDefault="004A546D" w:rsidP="004A546D">
            <w:pPr>
              <w:rPr>
                <w:lang w:val="en-GB"/>
              </w:rPr>
            </w:pPr>
            <w:r w:rsidRPr="006E299F">
              <w:rPr>
                <w:lang w:val="en-GB"/>
              </w:rPr>
              <w:t>0.16</w:t>
            </w:r>
          </w:p>
        </w:tc>
        <w:tc>
          <w:tcPr>
            <w:tcW w:w="1668" w:type="dxa"/>
            <w:tcBorders>
              <w:top w:val="single" w:sz="4" w:space="0" w:color="auto"/>
              <w:bottom w:val="single" w:sz="4" w:space="0" w:color="auto"/>
            </w:tcBorders>
          </w:tcPr>
          <w:p w14:paraId="22DC0A2C" w14:textId="267DCDBB" w:rsidR="004A546D" w:rsidRPr="006E299F" w:rsidRDefault="004A546D" w:rsidP="004A546D">
            <w:pPr>
              <w:rPr>
                <w:lang w:val="en-GB"/>
              </w:rPr>
            </w:pPr>
            <w:r w:rsidRPr="006E299F">
              <w:rPr>
                <w:lang w:val="en-GB"/>
              </w:rPr>
              <w:t>-</w:t>
            </w:r>
          </w:p>
          <w:p w14:paraId="0533F2C9" w14:textId="123D2162" w:rsidR="004A546D" w:rsidRPr="006E299F" w:rsidRDefault="004A546D" w:rsidP="004A546D">
            <w:pPr>
              <w:rPr>
                <w:lang w:val="en-GB"/>
              </w:rPr>
            </w:pPr>
            <w:r w:rsidRPr="006E299F">
              <w:rPr>
                <w:lang w:val="en-GB"/>
              </w:rPr>
              <w:t>0.07-0.36</w:t>
            </w:r>
          </w:p>
        </w:tc>
      </w:tr>
      <w:tr w:rsidR="004A546D" w14:paraId="2434DF60" w14:textId="77777777" w:rsidTr="00627B83">
        <w:tc>
          <w:tcPr>
            <w:tcW w:w="2552" w:type="dxa"/>
            <w:tcBorders>
              <w:top w:val="single" w:sz="4" w:space="0" w:color="auto"/>
              <w:bottom w:val="single" w:sz="4" w:space="0" w:color="auto"/>
            </w:tcBorders>
          </w:tcPr>
          <w:p w14:paraId="6A0561A3" w14:textId="36FD43AC" w:rsidR="004A546D" w:rsidRPr="006E299F" w:rsidRDefault="00627B83" w:rsidP="004A546D">
            <w:pPr>
              <w:rPr>
                <w:lang w:val="en-GB"/>
              </w:rPr>
            </w:pPr>
            <w:r w:rsidRPr="006E299F">
              <w:rPr>
                <w:lang w:val="en-GB"/>
              </w:rPr>
              <w:t>Sensitivity analysis #2</w:t>
            </w:r>
          </w:p>
        </w:tc>
        <w:tc>
          <w:tcPr>
            <w:tcW w:w="2268" w:type="dxa"/>
            <w:tcBorders>
              <w:top w:val="single" w:sz="4" w:space="0" w:color="auto"/>
              <w:bottom w:val="single" w:sz="4" w:space="0" w:color="auto"/>
            </w:tcBorders>
          </w:tcPr>
          <w:p w14:paraId="3106B5E9" w14:textId="77777777" w:rsidR="004A546D" w:rsidRPr="006E299F" w:rsidRDefault="004A546D" w:rsidP="004A546D">
            <w:pPr>
              <w:rPr>
                <w:lang w:val="en-GB"/>
              </w:rPr>
            </w:pPr>
            <w:r w:rsidRPr="006E299F">
              <w:rPr>
                <w:lang w:val="en-GB"/>
              </w:rPr>
              <w:t>Dec, 31st</w:t>
            </w:r>
          </w:p>
          <w:p w14:paraId="6B7F96B5" w14:textId="77777777" w:rsidR="004A546D" w:rsidRPr="006E299F" w:rsidRDefault="004A546D" w:rsidP="004A546D">
            <w:pPr>
              <w:rPr>
                <w:lang w:val="en-GB"/>
              </w:rPr>
            </w:pPr>
          </w:p>
        </w:tc>
        <w:tc>
          <w:tcPr>
            <w:tcW w:w="2268" w:type="dxa"/>
            <w:tcBorders>
              <w:top w:val="single" w:sz="4" w:space="0" w:color="auto"/>
              <w:bottom w:val="single" w:sz="4" w:space="0" w:color="auto"/>
            </w:tcBorders>
          </w:tcPr>
          <w:p w14:paraId="18C59E8F" w14:textId="023F946C" w:rsidR="004A546D" w:rsidRPr="006E299F" w:rsidRDefault="004A546D" w:rsidP="004A546D">
            <w:pPr>
              <w:rPr>
                <w:lang w:val="en-GB"/>
              </w:rPr>
            </w:pPr>
            <w:r w:rsidRPr="006E299F">
              <w:rPr>
                <w:lang w:val="en-GB"/>
              </w:rPr>
              <w:t>Jan, 1st</w:t>
            </w:r>
          </w:p>
        </w:tc>
        <w:tc>
          <w:tcPr>
            <w:tcW w:w="2268" w:type="dxa"/>
            <w:tcBorders>
              <w:top w:val="single" w:sz="4" w:space="0" w:color="auto"/>
              <w:bottom w:val="single" w:sz="4" w:space="0" w:color="auto"/>
            </w:tcBorders>
          </w:tcPr>
          <w:p w14:paraId="104B6E27" w14:textId="77777777" w:rsidR="004A546D" w:rsidRPr="00CE1C5D" w:rsidRDefault="004A546D" w:rsidP="004A546D">
            <w:pPr>
              <w:rPr>
                <w:lang w:val="en-GB"/>
              </w:rPr>
            </w:pPr>
            <w:r w:rsidRPr="00CE1C5D">
              <w:rPr>
                <w:lang w:val="en-GB"/>
              </w:rPr>
              <w:t>Unexposed (Ref.)</w:t>
            </w:r>
          </w:p>
          <w:p w14:paraId="706090B7" w14:textId="38CD8325" w:rsidR="004A546D" w:rsidRDefault="004A546D" w:rsidP="004A546D">
            <w:proofErr w:type="spellStart"/>
            <w:r>
              <w:t>Exposed</w:t>
            </w:r>
            <w:proofErr w:type="spellEnd"/>
          </w:p>
        </w:tc>
        <w:tc>
          <w:tcPr>
            <w:tcW w:w="1198" w:type="dxa"/>
            <w:tcBorders>
              <w:top w:val="single" w:sz="4" w:space="0" w:color="auto"/>
              <w:bottom w:val="single" w:sz="4" w:space="0" w:color="auto"/>
            </w:tcBorders>
          </w:tcPr>
          <w:p w14:paraId="2149BF31" w14:textId="77777777" w:rsidR="004A546D" w:rsidRDefault="004A546D" w:rsidP="004A546D">
            <w:r>
              <w:t>21</w:t>
            </w:r>
          </w:p>
          <w:p w14:paraId="439CA23C" w14:textId="25388D39" w:rsidR="004A546D" w:rsidRDefault="004A546D" w:rsidP="004A546D">
            <w:r>
              <w:t>12</w:t>
            </w:r>
          </w:p>
        </w:tc>
        <w:tc>
          <w:tcPr>
            <w:tcW w:w="1334" w:type="dxa"/>
            <w:tcBorders>
              <w:top w:val="single" w:sz="4" w:space="0" w:color="auto"/>
              <w:bottom w:val="single" w:sz="4" w:space="0" w:color="auto"/>
            </w:tcBorders>
          </w:tcPr>
          <w:p w14:paraId="3F2CE607" w14:textId="77777777" w:rsidR="004A546D" w:rsidRDefault="004A546D" w:rsidP="004A546D">
            <w:r>
              <w:t>1.00</w:t>
            </w:r>
          </w:p>
          <w:p w14:paraId="6B08A50C" w14:textId="3BEA513C" w:rsidR="004A546D" w:rsidRDefault="004A546D" w:rsidP="004A546D">
            <w:r>
              <w:t>0.22</w:t>
            </w:r>
          </w:p>
        </w:tc>
        <w:tc>
          <w:tcPr>
            <w:tcW w:w="1668" w:type="dxa"/>
            <w:tcBorders>
              <w:top w:val="single" w:sz="4" w:space="0" w:color="auto"/>
              <w:bottom w:val="single" w:sz="4" w:space="0" w:color="auto"/>
            </w:tcBorders>
          </w:tcPr>
          <w:p w14:paraId="38816E3D" w14:textId="4C0652D0" w:rsidR="004A546D" w:rsidRDefault="004A546D" w:rsidP="004A546D">
            <w:r>
              <w:t>-</w:t>
            </w:r>
          </w:p>
          <w:p w14:paraId="45B0A19D" w14:textId="4AF8E7B6" w:rsidR="004A546D" w:rsidRDefault="004A546D" w:rsidP="004A546D">
            <w:r>
              <w:t>0.10-0.48</w:t>
            </w:r>
          </w:p>
        </w:tc>
      </w:tr>
      <w:tr w:rsidR="004A546D" w14:paraId="7379C8B8" w14:textId="77777777" w:rsidTr="00627B83">
        <w:tc>
          <w:tcPr>
            <w:tcW w:w="2552" w:type="dxa"/>
            <w:tcBorders>
              <w:top w:val="single" w:sz="4" w:space="0" w:color="auto"/>
              <w:bottom w:val="single" w:sz="4" w:space="0" w:color="auto"/>
            </w:tcBorders>
          </w:tcPr>
          <w:p w14:paraId="6B36AA84" w14:textId="61BA029E" w:rsidR="004A546D" w:rsidRDefault="00627B83" w:rsidP="004A546D">
            <w:proofErr w:type="spellStart"/>
            <w:r>
              <w:t>Sensitivity</w:t>
            </w:r>
            <w:proofErr w:type="spellEnd"/>
            <w:r>
              <w:t xml:space="preserve"> </w:t>
            </w:r>
            <w:proofErr w:type="spellStart"/>
            <w:r>
              <w:t>analysis</w:t>
            </w:r>
            <w:proofErr w:type="spellEnd"/>
            <w:r>
              <w:t xml:space="preserve"> #3</w:t>
            </w:r>
          </w:p>
        </w:tc>
        <w:tc>
          <w:tcPr>
            <w:tcW w:w="2268" w:type="dxa"/>
            <w:tcBorders>
              <w:top w:val="single" w:sz="4" w:space="0" w:color="auto"/>
              <w:bottom w:val="single" w:sz="4" w:space="0" w:color="auto"/>
            </w:tcBorders>
          </w:tcPr>
          <w:p w14:paraId="2B388895" w14:textId="21FB4CB1" w:rsidR="004A546D" w:rsidRDefault="004A546D" w:rsidP="004A546D">
            <w:r>
              <w:t>Jan, 1st</w:t>
            </w:r>
          </w:p>
        </w:tc>
        <w:tc>
          <w:tcPr>
            <w:tcW w:w="2268" w:type="dxa"/>
            <w:tcBorders>
              <w:top w:val="single" w:sz="4" w:space="0" w:color="auto"/>
              <w:bottom w:val="single" w:sz="4" w:space="0" w:color="auto"/>
            </w:tcBorders>
          </w:tcPr>
          <w:p w14:paraId="7D9F0888" w14:textId="77777777" w:rsidR="004A546D" w:rsidRDefault="004A546D" w:rsidP="004A546D">
            <w:proofErr w:type="spellStart"/>
            <w:r>
              <w:t>Dec</w:t>
            </w:r>
            <w:proofErr w:type="spellEnd"/>
            <w:r>
              <w:t>, 31st</w:t>
            </w:r>
          </w:p>
          <w:p w14:paraId="32DC9512" w14:textId="03CB5980" w:rsidR="004A546D" w:rsidRDefault="004A546D" w:rsidP="004A546D"/>
        </w:tc>
        <w:tc>
          <w:tcPr>
            <w:tcW w:w="2268" w:type="dxa"/>
            <w:tcBorders>
              <w:top w:val="single" w:sz="4" w:space="0" w:color="auto"/>
              <w:bottom w:val="single" w:sz="4" w:space="0" w:color="auto"/>
            </w:tcBorders>
          </w:tcPr>
          <w:p w14:paraId="0BC847DA" w14:textId="77777777" w:rsidR="004A546D" w:rsidRPr="00CE1C5D" w:rsidRDefault="004A546D" w:rsidP="004A546D">
            <w:pPr>
              <w:rPr>
                <w:lang w:val="en-GB"/>
              </w:rPr>
            </w:pPr>
            <w:r w:rsidRPr="00CE1C5D">
              <w:rPr>
                <w:lang w:val="en-GB"/>
              </w:rPr>
              <w:t>Unexposed (Ref.)</w:t>
            </w:r>
          </w:p>
          <w:p w14:paraId="534F9E51" w14:textId="1D7931B1" w:rsidR="004A546D" w:rsidRDefault="004A546D" w:rsidP="004A546D">
            <w:proofErr w:type="spellStart"/>
            <w:r>
              <w:t>Exposed</w:t>
            </w:r>
            <w:proofErr w:type="spellEnd"/>
          </w:p>
        </w:tc>
        <w:tc>
          <w:tcPr>
            <w:tcW w:w="1198" w:type="dxa"/>
            <w:tcBorders>
              <w:top w:val="single" w:sz="4" w:space="0" w:color="auto"/>
              <w:bottom w:val="single" w:sz="4" w:space="0" w:color="auto"/>
            </w:tcBorders>
          </w:tcPr>
          <w:p w14:paraId="3E1B9F11" w14:textId="77777777" w:rsidR="004A546D" w:rsidRDefault="004A546D" w:rsidP="004A546D">
            <w:r>
              <w:t>26</w:t>
            </w:r>
          </w:p>
          <w:p w14:paraId="30796DE8" w14:textId="3A1375BE" w:rsidR="004A546D" w:rsidRDefault="004A546D" w:rsidP="004A546D">
            <w:r>
              <w:t>7</w:t>
            </w:r>
          </w:p>
        </w:tc>
        <w:tc>
          <w:tcPr>
            <w:tcW w:w="1334" w:type="dxa"/>
            <w:tcBorders>
              <w:top w:val="single" w:sz="4" w:space="0" w:color="auto"/>
              <w:bottom w:val="single" w:sz="4" w:space="0" w:color="auto"/>
            </w:tcBorders>
          </w:tcPr>
          <w:p w14:paraId="21080A31" w14:textId="77777777" w:rsidR="004A546D" w:rsidRDefault="004A546D" w:rsidP="004A546D">
            <w:r>
              <w:t>1.00</w:t>
            </w:r>
          </w:p>
          <w:p w14:paraId="3D7A2703" w14:textId="20AC850B" w:rsidR="004A546D" w:rsidRDefault="004A546D" w:rsidP="004A546D">
            <w:r>
              <w:t>0.14</w:t>
            </w:r>
          </w:p>
        </w:tc>
        <w:tc>
          <w:tcPr>
            <w:tcW w:w="1668" w:type="dxa"/>
            <w:tcBorders>
              <w:top w:val="single" w:sz="4" w:space="0" w:color="auto"/>
              <w:bottom w:val="single" w:sz="4" w:space="0" w:color="auto"/>
            </w:tcBorders>
          </w:tcPr>
          <w:p w14:paraId="6D9BAA29" w14:textId="77777777" w:rsidR="004A546D" w:rsidRDefault="004A546D" w:rsidP="004A546D">
            <w:r>
              <w:t>-</w:t>
            </w:r>
          </w:p>
          <w:p w14:paraId="12376DBE" w14:textId="6710C732" w:rsidR="004A546D" w:rsidRDefault="004A546D" w:rsidP="004A546D">
            <w:r>
              <w:t>0.06-0.34</w:t>
            </w:r>
          </w:p>
        </w:tc>
      </w:tr>
      <w:tr w:rsidR="00627B83" w14:paraId="37481538" w14:textId="77777777" w:rsidTr="00627B83">
        <w:tc>
          <w:tcPr>
            <w:tcW w:w="2552" w:type="dxa"/>
            <w:tcBorders>
              <w:top w:val="single" w:sz="4" w:space="0" w:color="auto"/>
            </w:tcBorders>
          </w:tcPr>
          <w:p w14:paraId="3783DF44" w14:textId="77777777" w:rsidR="00627B83" w:rsidRDefault="00627B83" w:rsidP="004A546D"/>
        </w:tc>
        <w:tc>
          <w:tcPr>
            <w:tcW w:w="2268" w:type="dxa"/>
            <w:tcBorders>
              <w:top w:val="single" w:sz="4" w:space="0" w:color="auto"/>
            </w:tcBorders>
          </w:tcPr>
          <w:p w14:paraId="5918F377" w14:textId="77777777" w:rsidR="00627B83" w:rsidRDefault="00627B83" w:rsidP="004A546D"/>
        </w:tc>
        <w:tc>
          <w:tcPr>
            <w:tcW w:w="2268" w:type="dxa"/>
            <w:tcBorders>
              <w:top w:val="single" w:sz="4" w:space="0" w:color="auto"/>
            </w:tcBorders>
          </w:tcPr>
          <w:p w14:paraId="2D410C2D" w14:textId="77777777" w:rsidR="00627B83" w:rsidRDefault="00627B83" w:rsidP="004A546D"/>
        </w:tc>
        <w:tc>
          <w:tcPr>
            <w:tcW w:w="2268" w:type="dxa"/>
            <w:tcBorders>
              <w:top w:val="single" w:sz="4" w:space="0" w:color="auto"/>
            </w:tcBorders>
          </w:tcPr>
          <w:p w14:paraId="337CDC10" w14:textId="77777777" w:rsidR="00627B83" w:rsidRPr="00CE1C5D" w:rsidRDefault="00627B83" w:rsidP="004A546D">
            <w:pPr>
              <w:rPr>
                <w:lang w:val="en-GB"/>
              </w:rPr>
            </w:pPr>
          </w:p>
        </w:tc>
        <w:tc>
          <w:tcPr>
            <w:tcW w:w="1198" w:type="dxa"/>
            <w:tcBorders>
              <w:top w:val="single" w:sz="4" w:space="0" w:color="auto"/>
            </w:tcBorders>
          </w:tcPr>
          <w:p w14:paraId="581310C0" w14:textId="77777777" w:rsidR="00627B83" w:rsidRDefault="00627B83" w:rsidP="004A546D"/>
        </w:tc>
        <w:tc>
          <w:tcPr>
            <w:tcW w:w="1334" w:type="dxa"/>
            <w:tcBorders>
              <w:top w:val="single" w:sz="4" w:space="0" w:color="auto"/>
            </w:tcBorders>
          </w:tcPr>
          <w:p w14:paraId="6E7685C4" w14:textId="77777777" w:rsidR="00627B83" w:rsidRDefault="00627B83" w:rsidP="004A546D"/>
        </w:tc>
        <w:tc>
          <w:tcPr>
            <w:tcW w:w="1668" w:type="dxa"/>
            <w:tcBorders>
              <w:top w:val="single" w:sz="4" w:space="0" w:color="auto"/>
            </w:tcBorders>
          </w:tcPr>
          <w:p w14:paraId="53F69F3F" w14:textId="77777777" w:rsidR="00627B83" w:rsidRDefault="00627B83" w:rsidP="004A546D"/>
        </w:tc>
      </w:tr>
    </w:tbl>
    <w:p w14:paraId="01F786E2" w14:textId="15837799" w:rsidR="00374B96" w:rsidRDefault="00627B83">
      <w:pPr>
        <w:rPr>
          <w:lang w:val="en-GB"/>
        </w:rPr>
      </w:pPr>
      <w:r w:rsidRPr="00627B83">
        <w:rPr>
          <w:b/>
          <w:lang w:val="en-GB"/>
        </w:rPr>
        <w:t>Table S</w:t>
      </w:r>
      <w:r w:rsidR="00202009">
        <w:rPr>
          <w:b/>
          <w:lang w:val="en-GB"/>
        </w:rPr>
        <w:t>3</w:t>
      </w:r>
      <w:r w:rsidRPr="00627B83">
        <w:rPr>
          <w:b/>
          <w:lang w:val="en-GB"/>
        </w:rPr>
        <w:t>:</w:t>
      </w:r>
      <w:r>
        <w:rPr>
          <w:lang w:val="en-GB"/>
        </w:rPr>
        <w:t xml:space="preserve"> Sensitivity of the self-controlled case-series method results to the imputation of the missing dates of events (</w:t>
      </w:r>
      <w:r w:rsidR="00210EC5">
        <w:rPr>
          <w:lang w:val="en-GB"/>
        </w:rPr>
        <w:t>o</w:t>
      </w:r>
      <w:r>
        <w:rPr>
          <w:lang w:val="en-GB"/>
        </w:rPr>
        <w:t>utbreak) or exposure (Preventive mass vaccination campaign, PMVC). IRR: incidence rate ratio.</w:t>
      </w:r>
    </w:p>
    <w:p w14:paraId="75843FF5" w14:textId="47BCEBE3" w:rsidR="00B85B0B" w:rsidRDefault="00B85B0B">
      <w:pPr>
        <w:rPr>
          <w:rFonts w:asciiTheme="majorHAnsi" w:hAnsiTheme="majorHAnsi" w:cstheme="majorHAnsi"/>
          <w:b/>
          <w:bCs/>
          <w:color w:val="000000"/>
          <w:sz w:val="24"/>
          <w:szCs w:val="24"/>
          <w:lang w:val="en-GB"/>
        </w:rPr>
      </w:pPr>
      <w:r>
        <w:rPr>
          <w:rFonts w:asciiTheme="majorHAnsi" w:hAnsiTheme="majorHAnsi" w:cstheme="majorHAnsi"/>
          <w:b/>
          <w:bCs/>
          <w:color w:val="000000"/>
          <w:sz w:val="24"/>
          <w:szCs w:val="24"/>
          <w:lang w:val="en-GB"/>
        </w:rPr>
        <w:br w:type="page"/>
      </w:r>
    </w:p>
    <w:p w14:paraId="35B23AE8" w14:textId="77777777" w:rsidR="00B85B0B" w:rsidRDefault="00B85B0B" w:rsidP="00B85B0B">
      <w:pPr>
        <w:rPr>
          <w:rFonts w:asciiTheme="majorHAnsi" w:hAnsiTheme="majorHAnsi" w:cstheme="majorHAnsi"/>
          <w:b/>
          <w:bCs/>
          <w:color w:val="000000"/>
          <w:sz w:val="24"/>
          <w:szCs w:val="24"/>
          <w:lang w:val="en-GB"/>
        </w:rPr>
      </w:pPr>
    </w:p>
    <w:tbl>
      <w:tblPr>
        <w:tblStyle w:val="Grilledutableau"/>
        <w:tblW w:w="13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309"/>
        <w:gridCol w:w="1309"/>
        <w:gridCol w:w="1801"/>
        <w:gridCol w:w="992"/>
        <w:gridCol w:w="636"/>
        <w:gridCol w:w="1218"/>
        <w:gridCol w:w="1654"/>
        <w:gridCol w:w="1385"/>
        <w:gridCol w:w="1772"/>
      </w:tblGrid>
      <w:tr w:rsidR="00B85B0B" w:rsidRPr="006B5426" w14:paraId="415A5C91" w14:textId="77777777" w:rsidTr="00B4585C">
        <w:tc>
          <w:tcPr>
            <w:tcW w:w="1701" w:type="dxa"/>
            <w:tcBorders>
              <w:bottom w:val="single" w:sz="4" w:space="0" w:color="auto"/>
            </w:tcBorders>
          </w:tcPr>
          <w:p w14:paraId="6D969B8D" w14:textId="77777777" w:rsidR="00B85B0B" w:rsidRPr="006E299F" w:rsidRDefault="00B85B0B" w:rsidP="00EC7188">
            <w:pPr>
              <w:rPr>
                <w:b/>
                <w:lang w:val="en-GB"/>
              </w:rPr>
            </w:pPr>
            <w:r w:rsidRPr="006E299F">
              <w:rPr>
                <w:b/>
                <w:lang w:val="en-GB"/>
              </w:rPr>
              <w:t>Model</w:t>
            </w:r>
          </w:p>
        </w:tc>
        <w:tc>
          <w:tcPr>
            <w:tcW w:w="1309" w:type="dxa"/>
            <w:tcBorders>
              <w:bottom w:val="single" w:sz="4" w:space="0" w:color="auto"/>
            </w:tcBorders>
          </w:tcPr>
          <w:p w14:paraId="45DA72AC" w14:textId="77777777" w:rsidR="00B85B0B" w:rsidRPr="00CE1C5D" w:rsidRDefault="00B85B0B" w:rsidP="00EC7188">
            <w:pPr>
              <w:rPr>
                <w:b/>
                <w:lang w:val="en-GB"/>
              </w:rPr>
            </w:pPr>
            <w:r>
              <w:rPr>
                <w:b/>
                <w:lang w:val="en-GB"/>
              </w:rPr>
              <w:t>Beginning of the observation period</w:t>
            </w:r>
          </w:p>
        </w:tc>
        <w:tc>
          <w:tcPr>
            <w:tcW w:w="1309" w:type="dxa"/>
            <w:tcBorders>
              <w:bottom w:val="single" w:sz="4" w:space="0" w:color="auto"/>
            </w:tcBorders>
          </w:tcPr>
          <w:p w14:paraId="686E1376" w14:textId="77777777" w:rsidR="00B85B0B" w:rsidRPr="00CE1C5D" w:rsidRDefault="00B85B0B" w:rsidP="00EC7188">
            <w:pPr>
              <w:rPr>
                <w:b/>
                <w:lang w:val="en-GB"/>
              </w:rPr>
            </w:pPr>
            <w:r>
              <w:rPr>
                <w:b/>
                <w:lang w:val="en-GB"/>
              </w:rPr>
              <w:t>End of the observation period</w:t>
            </w:r>
          </w:p>
        </w:tc>
        <w:tc>
          <w:tcPr>
            <w:tcW w:w="1801" w:type="dxa"/>
            <w:tcBorders>
              <w:bottom w:val="single" w:sz="4" w:space="0" w:color="auto"/>
            </w:tcBorders>
          </w:tcPr>
          <w:p w14:paraId="61ED940B" w14:textId="77777777" w:rsidR="00B85B0B" w:rsidRPr="006E299F" w:rsidRDefault="00B85B0B" w:rsidP="00EC7188">
            <w:pPr>
              <w:rPr>
                <w:b/>
                <w:lang w:val="en-GB"/>
              </w:rPr>
            </w:pPr>
            <w:r w:rsidRPr="006E299F">
              <w:rPr>
                <w:b/>
                <w:lang w:val="en-GB"/>
              </w:rPr>
              <w:t>Exposure category</w:t>
            </w:r>
          </w:p>
        </w:tc>
        <w:tc>
          <w:tcPr>
            <w:tcW w:w="992" w:type="dxa"/>
            <w:tcBorders>
              <w:bottom w:val="single" w:sz="4" w:space="0" w:color="auto"/>
            </w:tcBorders>
          </w:tcPr>
          <w:p w14:paraId="725565B3" w14:textId="77777777" w:rsidR="00B85B0B" w:rsidRPr="006E299F" w:rsidRDefault="00B85B0B" w:rsidP="00EC7188">
            <w:pPr>
              <w:rPr>
                <w:b/>
                <w:lang w:val="en-GB"/>
              </w:rPr>
            </w:pPr>
            <w:r w:rsidRPr="006E299F">
              <w:rPr>
                <w:b/>
                <w:lang w:val="en-GB"/>
              </w:rPr>
              <w:t>Number of events</w:t>
            </w:r>
          </w:p>
        </w:tc>
        <w:tc>
          <w:tcPr>
            <w:tcW w:w="636" w:type="dxa"/>
            <w:tcBorders>
              <w:bottom w:val="single" w:sz="4" w:space="0" w:color="auto"/>
            </w:tcBorders>
          </w:tcPr>
          <w:p w14:paraId="512B7FF5" w14:textId="77777777" w:rsidR="00B85B0B" w:rsidRPr="006E299F" w:rsidRDefault="00B85B0B" w:rsidP="00EC7188">
            <w:pPr>
              <w:rPr>
                <w:b/>
                <w:lang w:val="en-GB"/>
              </w:rPr>
            </w:pPr>
            <w:r w:rsidRPr="006E299F">
              <w:rPr>
                <w:b/>
                <w:lang w:val="en-GB"/>
              </w:rPr>
              <w:t>IRR*</w:t>
            </w:r>
          </w:p>
        </w:tc>
        <w:tc>
          <w:tcPr>
            <w:tcW w:w="1218" w:type="dxa"/>
            <w:tcBorders>
              <w:bottom w:val="single" w:sz="4" w:space="0" w:color="auto"/>
            </w:tcBorders>
          </w:tcPr>
          <w:p w14:paraId="0CD8C4A1" w14:textId="77777777" w:rsidR="00B85B0B" w:rsidRPr="006E299F" w:rsidRDefault="00B85B0B" w:rsidP="00EC7188">
            <w:pPr>
              <w:rPr>
                <w:b/>
                <w:lang w:val="en-GB"/>
              </w:rPr>
            </w:pPr>
            <w:r w:rsidRPr="006E299F">
              <w:rPr>
                <w:b/>
                <w:lang w:val="en-GB"/>
              </w:rPr>
              <w:t>95% confidence interval</w:t>
            </w:r>
          </w:p>
        </w:tc>
        <w:tc>
          <w:tcPr>
            <w:tcW w:w="1654" w:type="dxa"/>
            <w:tcBorders>
              <w:bottom w:val="single" w:sz="4" w:space="0" w:color="auto"/>
            </w:tcBorders>
          </w:tcPr>
          <w:p w14:paraId="72FC1A2B" w14:textId="77777777" w:rsidR="00B85B0B" w:rsidRDefault="00B85B0B" w:rsidP="00EC7188">
            <w:pPr>
              <w:rPr>
                <w:b/>
                <w:lang w:val="en-GB"/>
              </w:rPr>
            </w:pPr>
            <w:r>
              <w:rPr>
                <w:b/>
                <w:lang w:val="en-GB"/>
              </w:rPr>
              <w:t>Number of outbreak prevented</w:t>
            </w:r>
          </w:p>
        </w:tc>
        <w:tc>
          <w:tcPr>
            <w:tcW w:w="1385" w:type="dxa"/>
            <w:tcBorders>
              <w:bottom w:val="single" w:sz="4" w:space="0" w:color="auto"/>
            </w:tcBorders>
          </w:tcPr>
          <w:p w14:paraId="4C84E0FA" w14:textId="77777777" w:rsidR="00B85B0B" w:rsidRDefault="00B85B0B" w:rsidP="00EC7188">
            <w:pPr>
              <w:rPr>
                <w:b/>
                <w:lang w:val="en-GB"/>
              </w:rPr>
            </w:pPr>
            <w:r>
              <w:rPr>
                <w:b/>
                <w:lang w:val="en-GB"/>
              </w:rPr>
              <w:t>Total number of outbreak observed on the period</w:t>
            </w:r>
          </w:p>
        </w:tc>
        <w:tc>
          <w:tcPr>
            <w:tcW w:w="1772" w:type="dxa"/>
            <w:tcBorders>
              <w:bottom w:val="single" w:sz="4" w:space="0" w:color="auto"/>
            </w:tcBorders>
          </w:tcPr>
          <w:p w14:paraId="20B7AC51" w14:textId="77777777" w:rsidR="00B85B0B" w:rsidRPr="006E299F" w:rsidRDefault="00B85B0B" w:rsidP="00EC7188">
            <w:pPr>
              <w:rPr>
                <w:b/>
                <w:lang w:val="en-GB"/>
              </w:rPr>
            </w:pPr>
            <w:r>
              <w:rPr>
                <w:b/>
                <w:lang w:val="en-GB"/>
              </w:rPr>
              <w:t>Percentage of outbreaks prevented</w:t>
            </w:r>
          </w:p>
        </w:tc>
      </w:tr>
      <w:tr w:rsidR="00B85B0B" w:rsidRPr="006B5426" w14:paraId="230DF100" w14:textId="77777777" w:rsidTr="00B4585C">
        <w:tc>
          <w:tcPr>
            <w:tcW w:w="1701" w:type="dxa"/>
            <w:tcBorders>
              <w:top w:val="single" w:sz="4" w:space="0" w:color="auto"/>
              <w:bottom w:val="single" w:sz="4" w:space="0" w:color="auto"/>
            </w:tcBorders>
          </w:tcPr>
          <w:p w14:paraId="429E08E8" w14:textId="77777777" w:rsidR="00B85B0B" w:rsidRPr="006E299F" w:rsidRDefault="00B85B0B" w:rsidP="00EC7188">
            <w:pPr>
              <w:rPr>
                <w:lang w:val="en-GB"/>
              </w:rPr>
            </w:pPr>
            <w:r w:rsidRPr="006E299F">
              <w:rPr>
                <w:lang w:val="en-GB"/>
              </w:rPr>
              <w:t>SCCS Model 1 (main analysis)</w:t>
            </w:r>
          </w:p>
        </w:tc>
        <w:tc>
          <w:tcPr>
            <w:tcW w:w="1309" w:type="dxa"/>
            <w:tcBorders>
              <w:top w:val="single" w:sz="4" w:space="0" w:color="auto"/>
              <w:bottom w:val="single" w:sz="4" w:space="0" w:color="auto"/>
            </w:tcBorders>
          </w:tcPr>
          <w:p w14:paraId="43C88B24" w14:textId="77777777" w:rsidR="00B85B0B" w:rsidRPr="006E299F" w:rsidRDefault="00B85B0B" w:rsidP="00EC7188">
            <w:pPr>
              <w:rPr>
                <w:lang w:val="en-GB"/>
              </w:rPr>
            </w:pPr>
            <w:r>
              <w:t>Jan, 1</w:t>
            </w:r>
            <w:r w:rsidRPr="00522078">
              <w:rPr>
                <w:vertAlign w:val="superscript"/>
              </w:rPr>
              <w:t>st</w:t>
            </w:r>
            <w:r>
              <w:t xml:space="preserve"> 2005</w:t>
            </w:r>
          </w:p>
        </w:tc>
        <w:tc>
          <w:tcPr>
            <w:tcW w:w="1309" w:type="dxa"/>
            <w:tcBorders>
              <w:top w:val="single" w:sz="4" w:space="0" w:color="auto"/>
              <w:bottom w:val="single" w:sz="4" w:space="0" w:color="auto"/>
            </w:tcBorders>
          </w:tcPr>
          <w:p w14:paraId="7F8EBC44" w14:textId="77777777" w:rsidR="00B85B0B" w:rsidRPr="006E299F" w:rsidRDefault="00B85B0B" w:rsidP="00EC7188">
            <w:pPr>
              <w:rPr>
                <w:lang w:val="en-GB"/>
              </w:rPr>
            </w:pPr>
            <w:proofErr w:type="spellStart"/>
            <w:r>
              <w:t>Dec</w:t>
            </w:r>
            <w:proofErr w:type="spellEnd"/>
            <w:r>
              <w:t>, 31</w:t>
            </w:r>
            <w:r w:rsidRPr="00522078">
              <w:rPr>
                <w:vertAlign w:val="superscript"/>
              </w:rPr>
              <w:t>st</w:t>
            </w:r>
            <w:r>
              <w:t xml:space="preserve">  2018</w:t>
            </w:r>
          </w:p>
        </w:tc>
        <w:tc>
          <w:tcPr>
            <w:tcW w:w="1801" w:type="dxa"/>
            <w:tcBorders>
              <w:top w:val="single" w:sz="4" w:space="0" w:color="auto"/>
              <w:bottom w:val="single" w:sz="4" w:space="0" w:color="auto"/>
            </w:tcBorders>
          </w:tcPr>
          <w:p w14:paraId="21D974E4" w14:textId="77777777" w:rsidR="00B85B0B" w:rsidRPr="006E299F" w:rsidRDefault="00B85B0B" w:rsidP="00EC7188">
            <w:pPr>
              <w:rPr>
                <w:lang w:val="en-GB"/>
              </w:rPr>
            </w:pPr>
            <w:r w:rsidRPr="006E299F">
              <w:rPr>
                <w:lang w:val="en-GB"/>
              </w:rPr>
              <w:t>Unexposed (Ref.)</w:t>
            </w:r>
          </w:p>
          <w:p w14:paraId="2E660FCB" w14:textId="77777777" w:rsidR="00B85B0B" w:rsidRPr="006E299F" w:rsidRDefault="00B85B0B" w:rsidP="00EC7188">
            <w:pPr>
              <w:rPr>
                <w:lang w:val="en-GB"/>
              </w:rPr>
            </w:pPr>
            <w:r w:rsidRPr="006E299F">
              <w:rPr>
                <w:lang w:val="en-GB"/>
              </w:rPr>
              <w:t>Exposed</w:t>
            </w:r>
          </w:p>
        </w:tc>
        <w:tc>
          <w:tcPr>
            <w:tcW w:w="992" w:type="dxa"/>
            <w:tcBorders>
              <w:top w:val="single" w:sz="4" w:space="0" w:color="auto"/>
              <w:bottom w:val="single" w:sz="4" w:space="0" w:color="auto"/>
            </w:tcBorders>
          </w:tcPr>
          <w:p w14:paraId="1C78A4BB" w14:textId="77777777" w:rsidR="00B85B0B" w:rsidRPr="006E299F" w:rsidRDefault="00B85B0B" w:rsidP="00EC7188">
            <w:pPr>
              <w:rPr>
                <w:lang w:val="en-GB"/>
              </w:rPr>
            </w:pPr>
            <w:r w:rsidRPr="006E299F">
              <w:rPr>
                <w:lang w:val="en-GB"/>
              </w:rPr>
              <w:t>26</w:t>
            </w:r>
          </w:p>
          <w:p w14:paraId="5B54666F" w14:textId="77777777" w:rsidR="00B85B0B" w:rsidRPr="006E299F" w:rsidRDefault="00B85B0B" w:rsidP="00EC7188">
            <w:pPr>
              <w:rPr>
                <w:lang w:val="en-GB"/>
              </w:rPr>
            </w:pPr>
            <w:r w:rsidRPr="006E299F">
              <w:rPr>
                <w:lang w:val="en-GB"/>
              </w:rPr>
              <w:t>7</w:t>
            </w:r>
          </w:p>
        </w:tc>
        <w:tc>
          <w:tcPr>
            <w:tcW w:w="636" w:type="dxa"/>
            <w:tcBorders>
              <w:top w:val="single" w:sz="4" w:space="0" w:color="auto"/>
              <w:bottom w:val="single" w:sz="4" w:space="0" w:color="auto"/>
            </w:tcBorders>
          </w:tcPr>
          <w:p w14:paraId="4FEA9B9F" w14:textId="77777777" w:rsidR="00B85B0B" w:rsidRPr="006E299F" w:rsidRDefault="00B85B0B" w:rsidP="00EC7188">
            <w:pPr>
              <w:rPr>
                <w:lang w:val="en-GB"/>
              </w:rPr>
            </w:pPr>
            <w:r w:rsidRPr="006E299F">
              <w:rPr>
                <w:lang w:val="en-GB"/>
              </w:rPr>
              <w:t>1.00</w:t>
            </w:r>
          </w:p>
          <w:p w14:paraId="766100CB" w14:textId="77777777" w:rsidR="00B85B0B" w:rsidRPr="006E299F" w:rsidRDefault="00B85B0B" w:rsidP="00EC7188">
            <w:pPr>
              <w:rPr>
                <w:lang w:val="en-GB"/>
              </w:rPr>
            </w:pPr>
            <w:r w:rsidRPr="006E299F">
              <w:rPr>
                <w:lang w:val="en-GB"/>
              </w:rPr>
              <w:t>0.14</w:t>
            </w:r>
          </w:p>
        </w:tc>
        <w:tc>
          <w:tcPr>
            <w:tcW w:w="1218" w:type="dxa"/>
            <w:tcBorders>
              <w:top w:val="single" w:sz="4" w:space="0" w:color="auto"/>
              <w:bottom w:val="single" w:sz="4" w:space="0" w:color="auto"/>
            </w:tcBorders>
          </w:tcPr>
          <w:p w14:paraId="02686A61" w14:textId="77777777" w:rsidR="00B85B0B" w:rsidRPr="006E299F" w:rsidRDefault="00B85B0B" w:rsidP="00EC7188">
            <w:pPr>
              <w:rPr>
                <w:lang w:val="en-GB"/>
              </w:rPr>
            </w:pPr>
            <w:r w:rsidRPr="006E299F">
              <w:rPr>
                <w:lang w:val="en-GB"/>
              </w:rPr>
              <w:t>-</w:t>
            </w:r>
          </w:p>
          <w:p w14:paraId="7AC5BDD0" w14:textId="77777777" w:rsidR="00B85B0B" w:rsidRPr="006E299F" w:rsidRDefault="00B85B0B" w:rsidP="00EC7188">
            <w:pPr>
              <w:rPr>
                <w:lang w:val="en-GB"/>
              </w:rPr>
            </w:pPr>
            <w:r w:rsidRPr="006E299F">
              <w:rPr>
                <w:lang w:val="en-GB"/>
              </w:rPr>
              <w:t>0.06-0.34</w:t>
            </w:r>
          </w:p>
        </w:tc>
        <w:tc>
          <w:tcPr>
            <w:tcW w:w="1654" w:type="dxa"/>
            <w:tcBorders>
              <w:top w:val="single" w:sz="4" w:space="0" w:color="auto"/>
              <w:bottom w:val="single" w:sz="4" w:space="0" w:color="auto"/>
            </w:tcBorders>
          </w:tcPr>
          <w:p w14:paraId="0F0FC5B6" w14:textId="77777777" w:rsidR="00B85B0B" w:rsidRDefault="00B85B0B" w:rsidP="00EC7188">
            <w:pPr>
              <w:rPr>
                <w:lang w:val="en-GB"/>
              </w:rPr>
            </w:pPr>
            <w:r>
              <w:t>50 (28 to 80)</w:t>
            </w:r>
          </w:p>
        </w:tc>
        <w:tc>
          <w:tcPr>
            <w:tcW w:w="1385" w:type="dxa"/>
            <w:tcBorders>
              <w:top w:val="single" w:sz="4" w:space="0" w:color="auto"/>
              <w:bottom w:val="single" w:sz="4" w:space="0" w:color="auto"/>
            </w:tcBorders>
          </w:tcPr>
          <w:p w14:paraId="6B2085F2" w14:textId="77777777" w:rsidR="00B85B0B" w:rsidRDefault="00B85B0B" w:rsidP="00EC7188">
            <w:pPr>
              <w:rPr>
                <w:lang w:val="en-GB"/>
              </w:rPr>
            </w:pPr>
            <w:r>
              <w:rPr>
                <w:lang w:val="en-GB"/>
              </w:rPr>
              <w:t>96</w:t>
            </w:r>
          </w:p>
        </w:tc>
        <w:tc>
          <w:tcPr>
            <w:tcW w:w="1772" w:type="dxa"/>
            <w:tcBorders>
              <w:top w:val="single" w:sz="4" w:space="0" w:color="auto"/>
              <w:bottom w:val="single" w:sz="4" w:space="0" w:color="auto"/>
            </w:tcBorders>
          </w:tcPr>
          <w:p w14:paraId="59BF82E8" w14:textId="77777777" w:rsidR="00B85B0B" w:rsidRPr="006E299F" w:rsidRDefault="00B85B0B" w:rsidP="00EC7188">
            <w:pPr>
              <w:rPr>
                <w:lang w:val="en-GB"/>
              </w:rPr>
            </w:pPr>
            <w:r>
              <w:t>34% (22% to 45%)</w:t>
            </w:r>
          </w:p>
        </w:tc>
      </w:tr>
      <w:tr w:rsidR="00B85B0B" w:rsidRPr="006B5426" w14:paraId="422A83F4" w14:textId="77777777" w:rsidTr="00B4585C">
        <w:tc>
          <w:tcPr>
            <w:tcW w:w="1701" w:type="dxa"/>
            <w:tcBorders>
              <w:top w:val="single" w:sz="4" w:space="0" w:color="auto"/>
              <w:bottom w:val="single" w:sz="4" w:space="0" w:color="auto"/>
            </w:tcBorders>
          </w:tcPr>
          <w:p w14:paraId="68E343FF" w14:textId="77777777" w:rsidR="00B85B0B" w:rsidRPr="006E299F" w:rsidRDefault="00B85B0B" w:rsidP="00EC7188">
            <w:pPr>
              <w:rPr>
                <w:lang w:val="en-GB"/>
              </w:rPr>
            </w:pPr>
            <w:r w:rsidRPr="006E299F">
              <w:rPr>
                <w:lang w:val="en-GB"/>
              </w:rPr>
              <w:t>Sensitivity analysis #1</w:t>
            </w:r>
          </w:p>
        </w:tc>
        <w:tc>
          <w:tcPr>
            <w:tcW w:w="1309" w:type="dxa"/>
            <w:tcBorders>
              <w:top w:val="single" w:sz="4" w:space="0" w:color="auto"/>
              <w:bottom w:val="single" w:sz="4" w:space="0" w:color="auto"/>
            </w:tcBorders>
          </w:tcPr>
          <w:p w14:paraId="71B473E9" w14:textId="77777777" w:rsidR="00B85B0B" w:rsidRPr="006E299F" w:rsidRDefault="00B85B0B" w:rsidP="00EC7188">
            <w:pPr>
              <w:rPr>
                <w:lang w:val="en-GB"/>
              </w:rPr>
            </w:pPr>
            <w:r>
              <w:t>Jan, 1</w:t>
            </w:r>
            <w:r w:rsidRPr="00522078">
              <w:rPr>
                <w:vertAlign w:val="superscript"/>
              </w:rPr>
              <w:t>st</w:t>
            </w:r>
            <w:r>
              <w:t xml:space="preserve"> 2007</w:t>
            </w:r>
          </w:p>
        </w:tc>
        <w:tc>
          <w:tcPr>
            <w:tcW w:w="1309" w:type="dxa"/>
            <w:tcBorders>
              <w:top w:val="single" w:sz="4" w:space="0" w:color="auto"/>
              <w:bottom w:val="single" w:sz="4" w:space="0" w:color="auto"/>
            </w:tcBorders>
          </w:tcPr>
          <w:p w14:paraId="32CFAF86" w14:textId="77777777" w:rsidR="00B85B0B" w:rsidRPr="006E299F" w:rsidRDefault="00B85B0B" w:rsidP="00EC7188">
            <w:pPr>
              <w:rPr>
                <w:lang w:val="en-GB"/>
              </w:rPr>
            </w:pPr>
            <w:proofErr w:type="spellStart"/>
            <w:r>
              <w:t>Dec</w:t>
            </w:r>
            <w:proofErr w:type="spellEnd"/>
            <w:r>
              <w:t>, 31</w:t>
            </w:r>
            <w:r w:rsidRPr="00522078">
              <w:rPr>
                <w:vertAlign w:val="superscript"/>
              </w:rPr>
              <w:t>st</w:t>
            </w:r>
            <w:r>
              <w:t xml:space="preserve">  2018</w:t>
            </w:r>
          </w:p>
        </w:tc>
        <w:tc>
          <w:tcPr>
            <w:tcW w:w="1801" w:type="dxa"/>
            <w:tcBorders>
              <w:top w:val="single" w:sz="4" w:space="0" w:color="auto"/>
              <w:bottom w:val="single" w:sz="4" w:space="0" w:color="auto"/>
            </w:tcBorders>
          </w:tcPr>
          <w:p w14:paraId="648D8783" w14:textId="77777777" w:rsidR="00B85B0B" w:rsidRPr="006E299F" w:rsidRDefault="00B85B0B" w:rsidP="00EC7188">
            <w:pPr>
              <w:rPr>
                <w:lang w:val="en-GB"/>
              </w:rPr>
            </w:pPr>
            <w:r w:rsidRPr="006E299F">
              <w:rPr>
                <w:lang w:val="en-GB"/>
              </w:rPr>
              <w:t>Unexposed (Ref.)</w:t>
            </w:r>
          </w:p>
          <w:p w14:paraId="249492A5" w14:textId="77777777" w:rsidR="00B85B0B" w:rsidRPr="006E299F" w:rsidRDefault="00B85B0B" w:rsidP="00EC7188">
            <w:pPr>
              <w:rPr>
                <w:lang w:val="en-GB"/>
              </w:rPr>
            </w:pPr>
            <w:r w:rsidRPr="006E299F">
              <w:rPr>
                <w:lang w:val="en-GB"/>
              </w:rPr>
              <w:t>Exposed</w:t>
            </w:r>
          </w:p>
        </w:tc>
        <w:tc>
          <w:tcPr>
            <w:tcW w:w="992" w:type="dxa"/>
            <w:tcBorders>
              <w:top w:val="single" w:sz="4" w:space="0" w:color="auto"/>
              <w:bottom w:val="single" w:sz="4" w:space="0" w:color="auto"/>
            </w:tcBorders>
          </w:tcPr>
          <w:p w14:paraId="72CA868D" w14:textId="77777777" w:rsidR="00B85B0B" w:rsidRDefault="00B85B0B" w:rsidP="00EC7188">
            <w:pPr>
              <w:rPr>
                <w:lang w:val="en-GB"/>
              </w:rPr>
            </w:pPr>
            <w:r>
              <w:rPr>
                <w:lang w:val="en-GB"/>
              </w:rPr>
              <w:t>17</w:t>
            </w:r>
          </w:p>
          <w:p w14:paraId="5E98BB6B" w14:textId="77777777" w:rsidR="00B85B0B" w:rsidRPr="006E299F" w:rsidRDefault="00B85B0B" w:rsidP="00EC7188">
            <w:pPr>
              <w:rPr>
                <w:lang w:val="en-GB"/>
              </w:rPr>
            </w:pPr>
            <w:r>
              <w:rPr>
                <w:lang w:val="en-GB"/>
              </w:rPr>
              <w:t>7</w:t>
            </w:r>
          </w:p>
        </w:tc>
        <w:tc>
          <w:tcPr>
            <w:tcW w:w="636" w:type="dxa"/>
            <w:tcBorders>
              <w:top w:val="single" w:sz="4" w:space="0" w:color="auto"/>
              <w:bottom w:val="single" w:sz="4" w:space="0" w:color="auto"/>
            </w:tcBorders>
          </w:tcPr>
          <w:p w14:paraId="245ADCCD" w14:textId="77777777" w:rsidR="00B85B0B" w:rsidRPr="006E299F" w:rsidRDefault="00B85B0B" w:rsidP="00EC7188">
            <w:pPr>
              <w:rPr>
                <w:lang w:val="en-GB"/>
              </w:rPr>
            </w:pPr>
            <w:r w:rsidRPr="006E299F">
              <w:rPr>
                <w:lang w:val="en-GB"/>
              </w:rPr>
              <w:t>1.00</w:t>
            </w:r>
          </w:p>
          <w:p w14:paraId="4CD571A6" w14:textId="77777777" w:rsidR="00B85B0B" w:rsidRPr="006E299F" w:rsidRDefault="00B85B0B" w:rsidP="00EC7188">
            <w:pPr>
              <w:rPr>
                <w:lang w:val="en-GB"/>
              </w:rPr>
            </w:pPr>
            <w:r>
              <w:rPr>
                <w:lang w:val="en-GB"/>
              </w:rPr>
              <w:t>0.28</w:t>
            </w:r>
          </w:p>
        </w:tc>
        <w:tc>
          <w:tcPr>
            <w:tcW w:w="1218" w:type="dxa"/>
            <w:tcBorders>
              <w:top w:val="single" w:sz="4" w:space="0" w:color="auto"/>
              <w:bottom w:val="single" w:sz="4" w:space="0" w:color="auto"/>
            </w:tcBorders>
          </w:tcPr>
          <w:p w14:paraId="3375CA97" w14:textId="77777777" w:rsidR="00B85B0B" w:rsidRDefault="00B85B0B" w:rsidP="00EC7188">
            <w:pPr>
              <w:rPr>
                <w:lang w:val="en-GB"/>
              </w:rPr>
            </w:pPr>
            <w:r>
              <w:rPr>
                <w:lang w:val="en-GB"/>
              </w:rPr>
              <w:t>-</w:t>
            </w:r>
          </w:p>
          <w:p w14:paraId="48E9E22A" w14:textId="77777777" w:rsidR="00B85B0B" w:rsidRPr="006E299F" w:rsidRDefault="00B85B0B" w:rsidP="00EC7188">
            <w:pPr>
              <w:rPr>
                <w:lang w:val="en-GB"/>
              </w:rPr>
            </w:pPr>
            <w:r>
              <w:rPr>
                <w:lang w:val="en-GB"/>
              </w:rPr>
              <w:t>0.11-0.70</w:t>
            </w:r>
          </w:p>
        </w:tc>
        <w:tc>
          <w:tcPr>
            <w:tcW w:w="1654" w:type="dxa"/>
            <w:tcBorders>
              <w:top w:val="single" w:sz="4" w:space="0" w:color="auto"/>
              <w:bottom w:val="single" w:sz="4" w:space="0" w:color="auto"/>
            </w:tcBorders>
          </w:tcPr>
          <w:p w14:paraId="4F9640E5" w14:textId="77777777" w:rsidR="00B85B0B" w:rsidRDefault="00B85B0B" w:rsidP="00EC7188">
            <w:pPr>
              <w:rPr>
                <w:lang w:val="en-GB"/>
              </w:rPr>
            </w:pPr>
            <w:r>
              <w:rPr>
                <w:lang w:val="en-GB"/>
              </w:rPr>
              <w:t>30 (10 to 59)</w:t>
            </w:r>
          </w:p>
        </w:tc>
        <w:tc>
          <w:tcPr>
            <w:tcW w:w="1385" w:type="dxa"/>
            <w:tcBorders>
              <w:top w:val="single" w:sz="4" w:space="0" w:color="auto"/>
              <w:bottom w:val="single" w:sz="4" w:space="0" w:color="auto"/>
            </w:tcBorders>
          </w:tcPr>
          <w:p w14:paraId="524470A6" w14:textId="77777777" w:rsidR="00B85B0B" w:rsidRDefault="00B85B0B" w:rsidP="00EC7188">
            <w:pPr>
              <w:rPr>
                <w:lang w:val="en-GB"/>
              </w:rPr>
            </w:pPr>
            <w:r>
              <w:rPr>
                <w:lang w:val="en-GB"/>
              </w:rPr>
              <w:t>79</w:t>
            </w:r>
          </w:p>
        </w:tc>
        <w:tc>
          <w:tcPr>
            <w:tcW w:w="1772" w:type="dxa"/>
            <w:tcBorders>
              <w:top w:val="single" w:sz="4" w:space="0" w:color="auto"/>
              <w:bottom w:val="single" w:sz="4" w:space="0" w:color="auto"/>
            </w:tcBorders>
          </w:tcPr>
          <w:p w14:paraId="26A279E1" w14:textId="77777777" w:rsidR="00B85B0B" w:rsidRPr="006E299F" w:rsidRDefault="00B85B0B" w:rsidP="00EC7188">
            <w:pPr>
              <w:rPr>
                <w:lang w:val="en-GB"/>
              </w:rPr>
            </w:pPr>
            <w:r>
              <w:rPr>
                <w:lang w:val="en-GB"/>
              </w:rPr>
              <w:t>28% (12% to 43%)</w:t>
            </w:r>
          </w:p>
        </w:tc>
      </w:tr>
      <w:tr w:rsidR="00B85B0B" w14:paraId="2FC279BB" w14:textId="77777777" w:rsidTr="00B4585C">
        <w:tc>
          <w:tcPr>
            <w:tcW w:w="1701" w:type="dxa"/>
            <w:tcBorders>
              <w:top w:val="single" w:sz="4" w:space="0" w:color="auto"/>
              <w:bottom w:val="single" w:sz="4" w:space="0" w:color="auto"/>
            </w:tcBorders>
          </w:tcPr>
          <w:p w14:paraId="741511F6" w14:textId="77777777" w:rsidR="00B85B0B" w:rsidRPr="006E299F" w:rsidRDefault="00B85B0B" w:rsidP="00EC7188">
            <w:pPr>
              <w:rPr>
                <w:lang w:val="en-GB"/>
              </w:rPr>
            </w:pPr>
            <w:r w:rsidRPr="006E299F">
              <w:rPr>
                <w:lang w:val="en-GB"/>
              </w:rPr>
              <w:t>Sensitivity analysis #2</w:t>
            </w:r>
          </w:p>
        </w:tc>
        <w:tc>
          <w:tcPr>
            <w:tcW w:w="1309" w:type="dxa"/>
            <w:tcBorders>
              <w:top w:val="single" w:sz="4" w:space="0" w:color="auto"/>
              <w:bottom w:val="single" w:sz="4" w:space="0" w:color="auto"/>
            </w:tcBorders>
          </w:tcPr>
          <w:p w14:paraId="675F00E7" w14:textId="77777777" w:rsidR="00B85B0B" w:rsidRPr="006E299F" w:rsidRDefault="00B85B0B" w:rsidP="00EC7188">
            <w:pPr>
              <w:rPr>
                <w:lang w:val="en-GB"/>
              </w:rPr>
            </w:pPr>
            <w:r>
              <w:t>Jan, 1</w:t>
            </w:r>
            <w:r w:rsidRPr="00522078">
              <w:rPr>
                <w:vertAlign w:val="superscript"/>
              </w:rPr>
              <w:t>st</w:t>
            </w:r>
            <w:r>
              <w:t xml:space="preserve"> 2005</w:t>
            </w:r>
          </w:p>
        </w:tc>
        <w:tc>
          <w:tcPr>
            <w:tcW w:w="1309" w:type="dxa"/>
            <w:tcBorders>
              <w:top w:val="single" w:sz="4" w:space="0" w:color="auto"/>
              <w:bottom w:val="single" w:sz="4" w:space="0" w:color="auto"/>
            </w:tcBorders>
          </w:tcPr>
          <w:p w14:paraId="42B2858B" w14:textId="77777777" w:rsidR="00B85B0B" w:rsidRPr="006E299F" w:rsidRDefault="00B85B0B" w:rsidP="00EC7188">
            <w:pPr>
              <w:rPr>
                <w:lang w:val="en-GB"/>
              </w:rPr>
            </w:pPr>
            <w:proofErr w:type="spellStart"/>
            <w:r>
              <w:t>Dec</w:t>
            </w:r>
            <w:proofErr w:type="spellEnd"/>
            <w:r>
              <w:t>, 31</w:t>
            </w:r>
            <w:r w:rsidRPr="00522078">
              <w:rPr>
                <w:vertAlign w:val="superscript"/>
              </w:rPr>
              <w:t>st</w:t>
            </w:r>
            <w:r>
              <w:t xml:space="preserve">  2014</w:t>
            </w:r>
          </w:p>
        </w:tc>
        <w:tc>
          <w:tcPr>
            <w:tcW w:w="1801" w:type="dxa"/>
            <w:tcBorders>
              <w:top w:val="single" w:sz="4" w:space="0" w:color="auto"/>
              <w:bottom w:val="single" w:sz="4" w:space="0" w:color="auto"/>
            </w:tcBorders>
          </w:tcPr>
          <w:p w14:paraId="55BA075A" w14:textId="77777777" w:rsidR="00B85B0B" w:rsidRPr="00CE1C5D" w:rsidRDefault="00B85B0B" w:rsidP="00EC7188">
            <w:pPr>
              <w:rPr>
                <w:lang w:val="en-GB"/>
              </w:rPr>
            </w:pPr>
            <w:r w:rsidRPr="00CE1C5D">
              <w:rPr>
                <w:lang w:val="en-GB"/>
              </w:rPr>
              <w:t>Unexposed (Ref.)</w:t>
            </w:r>
          </w:p>
          <w:p w14:paraId="5CB8EA13" w14:textId="77777777" w:rsidR="00B85B0B" w:rsidRDefault="00B85B0B" w:rsidP="00EC7188">
            <w:proofErr w:type="spellStart"/>
            <w:r>
              <w:t>Exposed</w:t>
            </w:r>
            <w:proofErr w:type="spellEnd"/>
          </w:p>
        </w:tc>
        <w:tc>
          <w:tcPr>
            <w:tcW w:w="992" w:type="dxa"/>
            <w:tcBorders>
              <w:top w:val="single" w:sz="4" w:space="0" w:color="auto"/>
              <w:bottom w:val="single" w:sz="4" w:space="0" w:color="auto"/>
            </w:tcBorders>
          </w:tcPr>
          <w:p w14:paraId="3CF8C7B3" w14:textId="77777777" w:rsidR="00B85B0B" w:rsidRDefault="00B85B0B" w:rsidP="00EC7188">
            <w:r>
              <w:t>26</w:t>
            </w:r>
          </w:p>
          <w:p w14:paraId="2F11EDFA" w14:textId="77777777" w:rsidR="00B85B0B" w:rsidRDefault="00B85B0B" w:rsidP="00EC7188">
            <w:r>
              <w:t>6</w:t>
            </w:r>
          </w:p>
        </w:tc>
        <w:tc>
          <w:tcPr>
            <w:tcW w:w="636" w:type="dxa"/>
            <w:tcBorders>
              <w:top w:val="single" w:sz="4" w:space="0" w:color="auto"/>
              <w:bottom w:val="single" w:sz="4" w:space="0" w:color="auto"/>
            </w:tcBorders>
          </w:tcPr>
          <w:p w14:paraId="5DE36264" w14:textId="77777777" w:rsidR="00B85B0B" w:rsidRDefault="00B85B0B" w:rsidP="00EC7188">
            <w:r>
              <w:t>1.00</w:t>
            </w:r>
          </w:p>
          <w:p w14:paraId="7742769C" w14:textId="77777777" w:rsidR="00B85B0B" w:rsidRDefault="00B85B0B" w:rsidP="00EC7188">
            <w:r>
              <w:t>0.12</w:t>
            </w:r>
          </w:p>
        </w:tc>
        <w:tc>
          <w:tcPr>
            <w:tcW w:w="1218" w:type="dxa"/>
            <w:tcBorders>
              <w:top w:val="single" w:sz="4" w:space="0" w:color="auto"/>
              <w:bottom w:val="single" w:sz="4" w:space="0" w:color="auto"/>
            </w:tcBorders>
          </w:tcPr>
          <w:p w14:paraId="4BCD282C" w14:textId="77777777" w:rsidR="00B85B0B" w:rsidRDefault="00B85B0B" w:rsidP="00EC7188">
            <w:r>
              <w:t>-</w:t>
            </w:r>
          </w:p>
          <w:p w14:paraId="188AF03C" w14:textId="77777777" w:rsidR="00B85B0B" w:rsidRDefault="00B85B0B" w:rsidP="00EC7188">
            <w:r>
              <w:rPr>
                <w:lang w:val="en-GB"/>
              </w:rPr>
              <w:t>0.05-0.29</w:t>
            </w:r>
          </w:p>
        </w:tc>
        <w:tc>
          <w:tcPr>
            <w:tcW w:w="1654" w:type="dxa"/>
            <w:tcBorders>
              <w:top w:val="single" w:sz="4" w:space="0" w:color="auto"/>
              <w:bottom w:val="single" w:sz="4" w:space="0" w:color="auto"/>
            </w:tcBorders>
          </w:tcPr>
          <w:p w14:paraId="252EF5E1" w14:textId="77777777" w:rsidR="00B85B0B" w:rsidRDefault="00B85B0B" w:rsidP="00EC7188">
            <w:r>
              <w:t>24 (10 to 42)</w:t>
            </w:r>
          </w:p>
        </w:tc>
        <w:tc>
          <w:tcPr>
            <w:tcW w:w="1385" w:type="dxa"/>
            <w:tcBorders>
              <w:top w:val="single" w:sz="4" w:space="0" w:color="auto"/>
              <w:bottom w:val="single" w:sz="4" w:space="0" w:color="auto"/>
            </w:tcBorders>
          </w:tcPr>
          <w:p w14:paraId="159B888A" w14:textId="77777777" w:rsidR="00B85B0B" w:rsidRDefault="00B85B0B" w:rsidP="00EC7188">
            <w:r>
              <w:t>61</w:t>
            </w:r>
          </w:p>
        </w:tc>
        <w:tc>
          <w:tcPr>
            <w:tcW w:w="1772" w:type="dxa"/>
            <w:tcBorders>
              <w:top w:val="single" w:sz="4" w:space="0" w:color="auto"/>
              <w:bottom w:val="single" w:sz="4" w:space="0" w:color="auto"/>
            </w:tcBorders>
          </w:tcPr>
          <w:p w14:paraId="0AD1DAC5" w14:textId="77777777" w:rsidR="00B85B0B" w:rsidRDefault="00B85B0B" w:rsidP="00EC7188">
            <w:r>
              <w:t>29% (14% to 41%)</w:t>
            </w:r>
          </w:p>
        </w:tc>
      </w:tr>
      <w:tr w:rsidR="00B85B0B" w14:paraId="12336F48" w14:textId="77777777" w:rsidTr="00B4585C">
        <w:tc>
          <w:tcPr>
            <w:tcW w:w="1701" w:type="dxa"/>
            <w:tcBorders>
              <w:top w:val="single" w:sz="4" w:space="0" w:color="auto"/>
            </w:tcBorders>
          </w:tcPr>
          <w:p w14:paraId="52C4BD52" w14:textId="77777777" w:rsidR="00B85B0B" w:rsidRDefault="00B85B0B" w:rsidP="00EC7188"/>
        </w:tc>
        <w:tc>
          <w:tcPr>
            <w:tcW w:w="1309" w:type="dxa"/>
            <w:tcBorders>
              <w:top w:val="single" w:sz="4" w:space="0" w:color="auto"/>
            </w:tcBorders>
          </w:tcPr>
          <w:p w14:paraId="609FCA14" w14:textId="77777777" w:rsidR="00B85B0B" w:rsidRDefault="00B85B0B" w:rsidP="00EC7188"/>
        </w:tc>
        <w:tc>
          <w:tcPr>
            <w:tcW w:w="1309" w:type="dxa"/>
            <w:tcBorders>
              <w:top w:val="single" w:sz="4" w:space="0" w:color="auto"/>
            </w:tcBorders>
          </w:tcPr>
          <w:p w14:paraId="6D18528E" w14:textId="77777777" w:rsidR="00B85B0B" w:rsidRDefault="00B85B0B" w:rsidP="00EC7188"/>
        </w:tc>
        <w:tc>
          <w:tcPr>
            <w:tcW w:w="1801" w:type="dxa"/>
            <w:tcBorders>
              <w:top w:val="single" w:sz="4" w:space="0" w:color="auto"/>
            </w:tcBorders>
          </w:tcPr>
          <w:p w14:paraId="59240400" w14:textId="77777777" w:rsidR="00B85B0B" w:rsidRPr="00CE1C5D" w:rsidRDefault="00B85B0B" w:rsidP="00EC7188">
            <w:pPr>
              <w:rPr>
                <w:lang w:val="en-GB"/>
              </w:rPr>
            </w:pPr>
          </w:p>
        </w:tc>
        <w:tc>
          <w:tcPr>
            <w:tcW w:w="992" w:type="dxa"/>
            <w:tcBorders>
              <w:top w:val="single" w:sz="4" w:space="0" w:color="auto"/>
            </w:tcBorders>
          </w:tcPr>
          <w:p w14:paraId="55BA5BED" w14:textId="77777777" w:rsidR="00B85B0B" w:rsidRDefault="00B85B0B" w:rsidP="00EC7188"/>
        </w:tc>
        <w:tc>
          <w:tcPr>
            <w:tcW w:w="636" w:type="dxa"/>
            <w:tcBorders>
              <w:top w:val="single" w:sz="4" w:space="0" w:color="auto"/>
            </w:tcBorders>
          </w:tcPr>
          <w:p w14:paraId="69656A76" w14:textId="77777777" w:rsidR="00B85B0B" w:rsidRDefault="00B85B0B" w:rsidP="00EC7188"/>
        </w:tc>
        <w:tc>
          <w:tcPr>
            <w:tcW w:w="1218" w:type="dxa"/>
            <w:tcBorders>
              <w:top w:val="single" w:sz="4" w:space="0" w:color="auto"/>
            </w:tcBorders>
          </w:tcPr>
          <w:p w14:paraId="72B22920" w14:textId="77777777" w:rsidR="00B85B0B" w:rsidRDefault="00B85B0B" w:rsidP="00EC7188"/>
        </w:tc>
        <w:tc>
          <w:tcPr>
            <w:tcW w:w="1654" w:type="dxa"/>
            <w:tcBorders>
              <w:top w:val="single" w:sz="4" w:space="0" w:color="auto"/>
            </w:tcBorders>
          </w:tcPr>
          <w:p w14:paraId="37E09EEC" w14:textId="77777777" w:rsidR="00B85B0B" w:rsidRDefault="00B85B0B" w:rsidP="00EC7188"/>
        </w:tc>
        <w:tc>
          <w:tcPr>
            <w:tcW w:w="1385" w:type="dxa"/>
            <w:tcBorders>
              <w:top w:val="single" w:sz="4" w:space="0" w:color="auto"/>
            </w:tcBorders>
          </w:tcPr>
          <w:p w14:paraId="3F3D8599" w14:textId="77777777" w:rsidR="00B85B0B" w:rsidRDefault="00B85B0B" w:rsidP="00EC7188"/>
        </w:tc>
        <w:tc>
          <w:tcPr>
            <w:tcW w:w="1772" w:type="dxa"/>
            <w:tcBorders>
              <w:top w:val="single" w:sz="4" w:space="0" w:color="auto"/>
            </w:tcBorders>
          </w:tcPr>
          <w:p w14:paraId="363B0B76" w14:textId="77777777" w:rsidR="00B85B0B" w:rsidRDefault="00B85B0B" w:rsidP="00EC7188"/>
        </w:tc>
      </w:tr>
    </w:tbl>
    <w:p w14:paraId="1C456D11" w14:textId="0F708F5F" w:rsidR="00B85B0B" w:rsidRPr="00220F30" w:rsidRDefault="00202009" w:rsidP="00B85B0B">
      <w:pPr>
        <w:rPr>
          <w:lang w:val="en-GB"/>
        </w:rPr>
      </w:pPr>
      <w:r>
        <w:rPr>
          <w:b/>
          <w:lang w:val="en-GB"/>
        </w:rPr>
        <w:t>Table S4</w:t>
      </w:r>
      <w:r w:rsidR="00B85B0B" w:rsidRPr="00627B83">
        <w:rPr>
          <w:b/>
          <w:lang w:val="en-GB"/>
        </w:rPr>
        <w:t>:</w:t>
      </w:r>
      <w:r w:rsidR="00B85B0B">
        <w:rPr>
          <w:lang w:val="en-GB"/>
        </w:rPr>
        <w:t xml:space="preserve"> Sensitivity of the self-controlled case-series method results to the choice of start and end dates of the study period. </w:t>
      </w:r>
      <w:r w:rsidR="00B85B0B" w:rsidRPr="00220F30">
        <w:rPr>
          <w:lang w:val="en-GB"/>
        </w:rPr>
        <w:t>IRR: incidence rate ratio.</w:t>
      </w:r>
    </w:p>
    <w:p w14:paraId="6AF60E5E" w14:textId="68A58527" w:rsidR="00B85B0B" w:rsidRDefault="00B85B0B">
      <w:pPr>
        <w:rPr>
          <w:rFonts w:asciiTheme="majorHAnsi" w:hAnsiTheme="majorHAnsi" w:cstheme="majorHAnsi"/>
          <w:b/>
          <w:bCs/>
          <w:color w:val="000000"/>
          <w:sz w:val="24"/>
          <w:szCs w:val="24"/>
          <w:lang w:val="en-GB"/>
        </w:rPr>
      </w:pPr>
      <w:r>
        <w:rPr>
          <w:rFonts w:asciiTheme="majorHAnsi" w:hAnsiTheme="majorHAnsi" w:cstheme="majorHAnsi"/>
          <w:b/>
          <w:bCs/>
          <w:color w:val="000000"/>
          <w:sz w:val="24"/>
          <w:szCs w:val="24"/>
          <w:lang w:val="en-GB"/>
        </w:rPr>
        <w:br w:type="page"/>
      </w:r>
    </w:p>
    <w:p w14:paraId="30F2197D" w14:textId="77777777" w:rsidR="006517BD" w:rsidRDefault="006517BD">
      <w:pPr>
        <w:rPr>
          <w:rFonts w:asciiTheme="majorHAnsi" w:hAnsiTheme="majorHAnsi" w:cstheme="majorHAnsi"/>
          <w:b/>
          <w:bCs/>
          <w:color w:val="000000"/>
          <w:sz w:val="24"/>
          <w:szCs w:val="24"/>
          <w:lang w:val="en-GB"/>
        </w:rPr>
        <w:sectPr w:rsidR="006517BD" w:rsidSect="00CE1C5D">
          <w:pgSz w:w="16838" w:h="11906" w:orient="landscape"/>
          <w:pgMar w:top="1417" w:right="1417" w:bottom="1417" w:left="1417" w:header="708" w:footer="708" w:gutter="0"/>
          <w:cols w:space="708"/>
          <w:docGrid w:linePitch="360"/>
        </w:sectPr>
      </w:pPr>
    </w:p>
    <w:p w14:paraId="31987F56" w14:textId="65EE2FF6" w:rsidR="00374B96" w:rsidRDefault="00374B96" w:rsidP="00374B96">
      <w:pPr>
        <w:rPr>
          <w:rFonts w:asciiTheme="majorHAnsi" w:hAnsiTheme="majorHAnsi" w:cstheme="majorHAnsi"/>
          <w:b/>
          <w:bCs/>
          <w:color w:val="000000"/>
          <w:sz w:val="24"/>
          <w:szCs w:val="24"/>
          <w:lang w:val="en-GB"/>
        </w:rPr>
      </w:pPr>
      <w:r>
        <w:rPr>
          <w:rFonts w:asciiTheme="majorHAnsi" w:hAnsiTheme="majorHAnsi" w:cstheme="majorHAnsi"/>
          <w:b/>
          <w:bCs/>
          <w:color w:val="000000"/>
          <w:sz w:val="24"/>
          <w:szCs w:val="24"/>
          <w:lang w:val="en-GB"/>
        </w:rPr>
        <w:lastRenderedPageBreak/>
        <w:t xml:space="preserve">Supplementary </w:t>
      </w:r>
      <w:r w:rsidR="00AF4475">
        <w:rPr>
          <w:rFonts w:asciiTheme="majorHAnsi" w:hAnsiTheme="majorHAnsi" w:cstheme="majorHAnsi"/>
          <w:b/>
          <w:bCs/>
          <w:color w:val="000000"/>
          <w:sz w:val="24"/>
          <w:szCs w:val="24"/>
          <w:lang w:val="en-GB"/>
        </w:rPr>
        <w:t>Tables S</w:t>
      </w:r>
      <w:r w:rsidR="00202009">
        <w:rPr>
          <w:rFonts w:asciiTheme="majorHAnsi" w:hAnsiTheme="majorHAnsi" w:cstheme="majorHAnsi"/>
          <w:b/>
          <w:bCs/>
          <w:color w:val="000000"/>
          <w:sz w:val="24"/>
          <w:szCs w:val="24"/>
          <w:lang w:val="en-GB"/>
        </w:rPr>
        <w:t>5</w:t>
      </w:r>
      <w:r w:rsidR="00AF4475">
        <w:rPr>
          <w:rFonts w:asciiTheme="majorHAnsi" w:hAnsiTheme="majorHAnsi" w:cstheme="majorHAnsi"/>
          <w:b/>
          <w:bCs/>
          <w:color w:val="000000"/>
          <w:sz w:val="24"/>
          <w:szCs w:val="24"/>
          <w:lang w:val="en-GB"/>
        </w:rPr>
        <w:t xml:space="preserve"> </w:t>
      </w:r>
      <w:r w:rsidR="00AC5F43">
        <w:rPr>
          <w:rFonts w:asciiTheme="majorHAnsi" w:hAnsiTheme="majorHAnsi" w:cstheme="majorHAnsi"/>
          <w:b/>
          <w:bCs/>
          <w:color w:val="000000"/>
          <w:sz w:val="24"/>
          <w:szCs w:val="24"/>
          <w:lang w:val="en-GB"/>
        </w:rPr>
        <w:t xml:space="preserve">to </w:t>
      </w:r>
      <w:proofErr w:type="gramStart"/>
      <w:r w:rsidR="00AC5F43">
        <w:rPr>
          <w:rFonts w:asciiTheme="majorHAnsi" w:hAnsiTheme="majorHAnsi" w:cstheme="majorHAnsi"/>
          <w:b/>
          <w:bCs/>
          <w:color w:val="000000"/>
          <w:sz w:val="24"/>
          <w:szCs w:val="24"/>
          <w:lang w:val="en-GB"/>
        </w:rPr>
        <w:t>S</w:t>
      </w:r>
      <w:r w:rsidR="00202009">
        <w:rPr>
          <w:rFonts w:asciiTheme="majorHAnsi" w:hAnsiTheme="majorHAnsi" w:cstheme="majorHAnsi"/>
          <w:b/>
          <w:bCs/>
          <w:color w:val="000000"/>
          <w:sz w:val="24"/>
          <w:szCs w:val="24"/>
          <w:lang w:val="en-GB"/>
        </w:rPr>
        <w:t>7</w:t>
      </w:r>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w:t>
      </w:r>
      <w:proofErr w:type="gramEnd"/>
      <w:r w:rsidRPr="00AA3434">
        <w:rPr>
          <w:rFonts w:asciiTheme="majorHAnsi" w:hAnsiTheme="majorHAnsi" w:cstheme="majorHAnsi"/>
          <w:b/>
          <w:bCs/>
          <w:color w:val="000000"/>
          <w:sz w:val="24"/>
          <w:szCs w:val="24"/>
          <w:lang w:val="en-GB"/>
        </w:rPr>
        <w:t xml:space="preserve"> </w:t>
      </w:r>
      <w:r>
        <w:rPr>
          <w:rFonts w:asciiTheme="majorHAnsi" w:hAnsiTheme="majorHAnsi" w:cstheme="majorHAnsi"/>
          <w:b/>
          <w:bCs/>
          <w:color w:val="000000"/>
          <w:sz w:val="24"/>
          <w:szCs w:val="24"/>
          <w:lang w:val="en-GB"/>
        </w:rPr>
        <w:t>Univariate and multivariate results of the cohort design analysis</w:t>
      </w:r>
    </w:p>
    <w:p w14:paraId="5E8941B2" w14:textId="52AA437F" w:rsidR="00AF4475" w:rsidRDefault="00AF4475" w:rsidP="00374B96">
      <w:pPr>
        <w:rPr>
          <w:rFonts w:asciiTheme="majorHAnsi" w:hAnsiTheme="majorHAnsi" w:cstheme="majorHAnsi"/>
          <w:b/>
          <w:bCs/>
          <w:color w:val="000000"/>
          <w:sz w:val="24"/>
          <w:szCs w:val="24"/>
          <w:lang w:val="en-GB"/>
        </w:rPr>
      </w:pPr>
    </w:p>
    <w:tbl>
      <w:tblPr>
        <w:tblStyle w:val="Grilledutableau"/>
        <w:tblW w:w="0" w:type="auto"/>
        <w:tblLook w:val="04A0" w:firstRow="1" w:lastRow="0" w:firstColumn="1" w:lastColumn="0" w:noHBand="0" w:noVBand="1"/>
      </w:tblPr>
      <w:tblGrid>
        <w:gridCol w:w="4531"/>
        <w:gridCol w:w="4531"/>
      </w:tblGrid>
      <w:tr w:rsidR="009C0484" w14:paraId="60D34FCF" w14:textId="77777777" w:rsidTr="009C0484">
        <w:tc>
          <w:tcPr>
            <w:tcW w:w="4531" w:type="dxa"/>
          </w:tcPr>
          <w:p w14:paraId="55D59CE1" w14:textId="2766A9CD" w:rsidR="009C0484" w:rsidRPr="009C0484" w:rsidRDefault="009C0484" w:rsidP="00374B96">
            <w:pPr>
              <w:rPr>
                <w:b/>
              </w:rPr>
            </w:pPr>
            <w:r w:rsidRPr="009C0484">
              <w:rPr>
                <w:b/>
              </w:rPr>
              <w:t>Variable</w:t>
            </w:r>
          </w:p>
        </w:tc>
        <w:tc>
          <w:tcPr>
            <w:tcW w:w="4531" w:type="dxa"/>
          </w:tcPr>
          <w:p w14:paraId="7EF0394E" w14:textId="06D10F03" w:rsidR="009C0484" w:rsidRPr="009C0484" w:rsidRDefault="009C0484" w:rsidP="00374B96">
            <w:pPr>
              <w:rPr>
                <w:b/>
              </w:rPr>
            </w:pPr>
            <w:r w:rsidRPr="009C0484">
              <w:rPr>
                <w:b/>
              </w:rPr>
              <w:t>PRR</w:t>
            </w:r>
          </w:p>
        </w:tc>
      </w:tr>
      <w:tr w:rsidR="009C0484" w14:paraId="3C339662" w14:textId="77777777" w:rsidTr="0074076D">
        <w:tc>
          <w:tcPr>
            <w:tcW w:w="4531" w:type="dxa"/>
          </w:tcPr>
          <w:p w14:paraId="25A99663" w14:textId="7C9EF18D" w:rsidR="009C0484" w:rsidRDefault="009C0484" w:rsidP="009C0484">
            <w:pPr>
              <w:rPr>
                <w:rFonts w:asciiTheme="majorHAnsi" w:hAnsiTheme="majorHAnsi" w:cstheme="majorHAnsi"/>
                <w:bCs/>
                <w:color w:val="000000"/>
                <w:sz w:val="24"/>
                <w:szCs w:val="24"/>
                <w:lang w:val="en-GB"/>
              </w:rPr>
            </w:pPr>
            <w:r>
              <w:t>Log population</w:t>
            </w:r>
          </w:p>
        </w:tc>
        <w:tc>
          <w:tcPr>
            <w:tcW w:w="4531" w:type="dxa"/>
            <w:vAlign w:val="bottom"/>
          </w:tcPr>
          <w:p w14:paraId="75FB13CD" w14:textId="116457AF"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0.83 (0.66 - 1.05)</w:t>
            </w:r>
          </w:p>
        </w:tc>
      </w:tr>
      <w:tr w:rsidR="009C0484" w14:paraId="64D512BA" w14:textId="77777777" w:rsidTr="0074076D">
        <w:tc>
          <w:tcPr>
            <w:tcW w:w="4531" w:type="dxa"/>
          </w:tcPr>
          <w:p w14:paraId="221D11A2" w14:textId="78A59A0B" w:rsidR="009C0484" w:rsidRDefault="009C0484" w:rsidP="009C0484">
            <w:pPr>
              <w:rPr>
                <w:rFonts w:asciiTheme="majorHAnsi" w:hAnsiTheme="majorHAnsi" w:cstheme="majorHAnsi"/>
                <w:bCs/>
                <w:color w:val="000000"/>
                <w:sz w:val="24"/>
                <w:szCs w:val="24"/>
                <w:lang w:val="en-GB"/>
              </w:rPr>
            </w:pPr>
            <w:r>
              <w:t xml:space="preserve">Surveillance </w:t>
            </w:r>
            <w:proofErr w:type="spellStart"/>
            <w:r>
              <w:t>quality</w:t>
            </w:r>
            <w:proofErr w:type="spellEnd"/>
          </w:p>
        </w:tc>
        <w:tc>
          <w:tcPr>
            <w:tcW w:w="4531" w:type="dxa"/>
            <w:vAlign w:val="bottom"/>
          </w:tcPr>
          <w:p w14:paraId="503A3A22" w14:textId="518481C1"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1.21 (1.15 - 1.27)</w:t>
            </w:r>
          </w:p>
        </w:tc>
      </w:tr>
      <w:tr w:rsidR="009C0484" w14:paraId="79D45FE4" w14:textId="77777777" w:rsidTr="0074076D">
        <w:tc>
          <w:tcPr>
            <w:tcW w:w="4531" w:type="dxa"/>
          </w:tcPr>
          <w:p w14:paraId="5D3C4462" w14:textId="04138086" w:rsidR="009C0484" w:rsidRDefault="009C0484" w:rsidP="009C0484">
            <w:pPr>
              <w:rPr>
                <w:rFonts w:asciiTheme="majorHAnsi" w:hAnsiTheme="majorHAnsi" w:cstheme="majorHAnsi"/>
                <w:bCs/>
                <w:color w:val="000000"/>
                <w:sz w:val="24"/>
                <w:szCs w:val="24"/>
                <w:lang w:val="en-GB"/>
              </w:rPr>
            </w:pPr>
            <w:r>
              <w:t>Longitude</w:t>
            </w:r>
          </w:p>
        </w:tc>
        <w:tc>
          <w:tcPr>
            <w:tcW w:w="4531" w:type="dxa"/>
            <w:vAlign w:val="bottom"/>
          </w:tcPr>
          <w:p w14:paraId="6C184322" w14:textId="6372B742"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0.43 (0.37 - 0.5)</w:t>
            </w:r>
          </w:p>
        </w:tc>
      </w:tr>
      <w:tr w:rsidR="009C0484" w14:paraId="73C692A5" w14:textId="77777777" w:rsidTr="0074076D">
        <w:tc>
          <w:tcPr>
            <w:tcW w:w="4531" w:type="dxa"/>
          </w:tcPr>
          <w:p w14:paraId="636FA76F" w14:textId="7B365723" w:rsidR="009C0484" w:rsidRDefault="009C0484" w:rsidP="009C0484">
            <w:pPr>
              <w:rPr>
                <w:rFonts w:asciiTheme="majorHAnsi" w:hAnsiTheme="majorHAnsi" w:cstheme="majorHAnsi"/>
                <w:bCs/>
                <w:color w:val="000000"/>
                <w:sz w:val="24"/>
                <w:szCs w:val="24"/>
                <w:lang w:val="en-GB"/>
              </w:rPr>
            </w:pPr>
            <w:r>
              <w:t xml:space="preserve">Land </w:t>
            </w:r>
            <w:proofErr w:type="spellStart"/>
            <w:r>
              <w:t>cover</w:t>
            </w:r>
            <w:proofErr w:type="spellEnd"/>
            <w:r>
              <w:t xml:space="preserve"> type</w:t>
            </w:r>
          </w:p>
        </w:tc>
        <w:tc>
          <w:tcPr>
            <w:tcW w:w="4531" w:type="dxa"/>
            <w:vAlign w:val="bottom"/>
          </w:tcPr>
          <w:p w14:paraId="4D774608" w14:textId="3A4E6C46"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0.60 (0.45 - 0.81)</w:t>
            </w:r>
          </w:p>
        </w:tc>
      </w:tr>
      <w:tr w:rsidR="009C0484" w14:paraId="647AA9E2" w14:textId="77777777" w:rsidTr="0074076D">
        <w:tc>
          <w:tcPr>
            <w:tcW w:w="4531" w:type="dxa"/>
          </w:tcPr>
          <w:p w14:paraId="23F4B9CE" w14:textId="6EB9DE56" w:rsidR="009C0484" w:rsidRDefault="009C0484" w:rsidP="009C0484">
            <w:pPr>
              <w:rPr>
                <w:rFonts w:asciiTheme="majorHAnsi" w:hAnsiTheme="majorHAnsi" w:cstheme="majorHAnsi"/>
                <w:bCs/>
                <w:color w:val="000000"/>
                <w:sz w:val="24"/>
                <w:szCs w:val="24"/>
                <w:lang w:val="en-GB"/>
              </w:rPr>
            </w:pPr>
            <w:r>
              <w:t>EVI</w:t>
            </w:r>
          </w:p>
        </w:tc>
        <w:tc>
          <w:tcPr>
            <w:tcW w:w="4531" w:type="dxa"/>
            <w:vAlign w:val="bottom"/>
          </w:tcPr>
          <w:p w14:paraId="7E88E308" w14:textId="21BABAD3"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1.02 (1.01 - 1.02)</w:t>
            </w:r>
          </w:p>
        </w:tc>
      </w:tr>
      <w:tr w:rsidR="009C0484" w14:paraId="1CA77D8B" w14:textId="77777777" w:rsidTr="0074076D">
        <w:tc>
          <w:tcPr>
            <w:tcW w:w="4531" w:type="dxa"/>
          </w:tcPr>
          <w:p w14:paraId="50D4263B" w14:textId="6B93768F" w:rsidR="009C0484" w:rsidRDefault="009C0484" w:rsidP="009C0484">
            <w:pPr>
              <w:rPr>
                <w:rFonts w:asciiTheme="majorHAnsi" w:hAnsiTheme="majorHAnsi" w:cstheme="majorHAnsi"/>
                <w:bCs/>
                <w:color w:val="000000"/>
                <w:sz w:val="24"/>
                <w:szCs w:val="24"/>
                <w:lang w:val="en-GB"/>
              </w:rPr>
            </w:pPr>
            <w:proofErr w:type="spellStart"/>
            <w:r>
              <w:t>Rainfall</w:t>
            </w:r>
            <w:proofErr w:type="spellEnd"/>
          </w:p>
        </w:tc>
        <w:tc>
          <w:tcPr>
            <w:tcW w:w="4531" w:type="dxa"/>
            <w:vAlign w:val="bottom"/>
          </w:tcPr>
          <w:p w14:paraId="75CB8B2F" w14:textId="139DF152"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1.23 (1.11 - 1.38)</w:t>
            </w:r>
          </w:p>
        </w:tc>
      </w:tr>
      <w:tr w:rsidR="009C0484" w14:paraId="53988E68" w14:textId="77777777" w:rsidTr="0074076D">
        <w:tc>
          <w:tcPr>
            <w:tcW w:w="4531" w:type="dxa"/>
          </w:tcPr>
          <w:p w14:paraId="6087ED86" w14:textId="13384CC1" w:rsidR="009C0484" w:rsidRDefault="009C0484" w:rsidP="009C0484">
            <w:pPr>
              <w:rPr>
                <w:rFonts w:asciiTheme="majorHAnsi" w:hAnsiTheme="majorHAnsi" w:cstheme="majorHAnsi"/>
                <w:bCs/>
                <w:color w:val="000000"/>
                <w:sz w:val="24"/>
                <w:szCs w:val="24"/>
                <w:lang w:val="en-GB"/>
              </w:rPr>
            </w:pPr>
            <w:proofErr w:type="spellStart"/>
            <w:r>
              <w:t>Temperature</w:t>
            </w:r>
            <w:proofErr w:type="spellEnd"/>
            <w:r>
              <w:t xml:space="preserve"> </w:t>
            </w:r>
            <w:proofErr w:type="spellStart"/>
            <w:r>
              <w:t>suitability</w:t>
            </w:r>
            <w:proofErr w:type="spellEnd"/>
          </w:p>
        </w:tc>
        <w:tc>
          <w:tcPr>
            <w:tcW w:w="4531" w:type="dxa"/>
            <w:vAlign w:val="bottom"/>
          </w:tcPr>
          <w:p w14:paraId="59B01814" w14:textId="2D3F80E6" w:rsidR="009C0484" w:rsidRDefault="009C0484" w:rsidP="009C0484">
            <w:pPr>
              <w:rPr>
                <w:rFonts w:asciiTheme="majorHAnsi" w:hAnsiTheme="majorHAnsi" w:cstheme="majorHAnsi"/>
                <w:bCs/>
                <w:color w:val="000000"/>
                <w:sz w:val="24"/>
                <w:szCs w:val="24"/>
                <w:lang w:val="en-GB"/>
              </w:rPr>
            </w:pPr>
            <w:r>
              <w:rPr>
                <w:rFonts w:ascii="Calibri" w:hAnsi="Calibri" w:cs="Calibri"/>
                <w:color w:val="000000"/>
              </w:rPr>
              <w:t>1.48 (1.26 - 1.75)</w:t>
            </w:r>
          </w:p>
        </w:tc>
      </w:tr>
    </w:tbl>
    <w:p w14:paraId="23C41204" w14:textId="64011B33" w:rsidR="00AC5F43" w:rsidRPr="00AF4475" w:rsidRDefault="00AC5F43" w:rsidP="00AC5F43">
      <w:pPr>
        <w:rPr>
          <w:lang w:val="en-GB"/>
        </w:rPr>
      </w:pPr>
      <w:r w:rsidRPr="00AF4475">
        <w:rPr>
          <w:b/>
          <w:lang w:val="en-GB"/>
        </w:rPr>
        <w:t>Table S</w:t>
      </w:r>
      <w:r w:rsidR="00202009">
        <w:rPr>
          <w:b/>
          <w:lang w:val="en-GB"/>
        </w:rPr>
        <w:t>5</w:t>
      </w:r>
      <w:r w:rsidRPr="00AF4475">
        <w:rPr>
          <w:b/>
          <w:lang w:val="en-GB"/>
        </w:rPr>
        <w:t xml:space="preserve">: </w:t>
      </w:r>
      <w:r w:rsidRPr="00AC5F43">
        <w:rPr>
          <w:lang w:val="en-GB"/>
        </w:rPr>
        <w:t>Exposure model: Univariate associations between demographic and environmental variables and implementation of preventive mass vaccination campaigns.</w:t>
      </w:r>
      <w:r>
        <w:rPr>
          <w:lang w:val="en-GB"/>
        </w:rPr>
        <w:t xml:space="preserve"> PRR: prevalence rate ratio calculated from a modified Poisson regression.</w:t>
      </w:r>
    </w:p>
    <w:p w14:paraId="3511AB90" w14:textId="49C29E0B" w:rsidR="009C0484" w:rsidRDefault="009C0484" w:rsidP="00374B96">
      <w:pPr>
        <w:rPr>
          <w:rFonts w:asciiTheme="majorHAnsi" w:hAnsiTheme="majorHAnsi" w:cstheme="majorHAnsi"/>
          <w:b/>
          <w:bCs/>
          <w:color w:val="000000"/>
          <w:sz w:val="24"/>
          <w:szCs w:val="24"/>
          <w:lang w:val="en-GB"/>
        </w:rPr>
      </w:pPr>
    </w:p>
    <w:p w14:paraId="4A35D9EC" w14:textId="3BFB5600" w:rsidR="00ED6C9D" w:rsidRDefault="00ED6C9D" w:rsidP="00374B96">
      <w:pPr>
        <w:rPr>
          <w:rFonts w:asciiTheme="majorHAnsi" w:hAnsiTheme="majorHAnsi" w:cstheme="majorHAnsi"/>
          <w:b/>
          <w:bCs/>
          <w:color w:val="000000"/>
          <w:sz w:val="24"/>
          <w:szCs w:val="24"/>
          <w:lang w:val="en-GB"/>
        </w:rPr>
      </w:pPr>
    </w:p>
    <w:p w14:paraId="341F01A9" w14:textId="67CD33EF" w:rsidR="00ED6C9D" w:rsidRDefault="00ED6C9D" w:rsidP="00374B96">
      <w:pPr>
        <w:rPr>
          <w:rFonts w:asciiTheme="majorHAnsi" w:hAnsiTheme="majorHAnsi" w:cstheme="majorHAnsi"/>
          <w:b/>
          <w:bCs/>
          <w:color w:val="000000"/>
          <w:sz w:val="24"/>
          <w:szCs w:val="24"/>
          <w:lang w:val="en-GB"/>
        </w:rPr>
      </w:pPr>
    </w:p>
    <w:p w14:paraId="464E3D34" w14:textId="77777777" w:rsidR="00ED6C9D" w:rsidRDefault="00ED6C9D" w:rsidP="00374B96">
      <w:pPr>
        <w:rPr>
          <w:rFonts w:asciiTheme="majorHAnsi" w:hAnsiTheme="majorHAnsi" w:cstheme="majorHAnsi"/>
          <w:b/>
          <w:bCs/>
          <w:color w:val="000000"/>
          <w:sz w:val="24"/>
          <w:szCs w:val="24"/>
          <w:lang w:val="en-GB"/>
        </w:rPr>
      </w:pPr>
    </w:p>
    <w:tbl>
      <w:tblPr>
        <w:tblStyle w:val="Grilledutableau"/>
        <w:tblW w:w="5386" w:type="dxa"/>
        <w:jc w:val="center"/>
        <w:tblLook w:val="04A0" w:firstRow="1" w:lastRow="0" w:firstColumn="1" w:lastColumn="0" w:noHBand="0" w:noVBand="1"/>
      </w:tblPr>
      <w:tblGrid>
        <w:gridCol w:w="2409"/>
        <w:gridCol w:w="2977"/>
      </w:tblGrid>
      <w:tr w:rsidR="00E429C9" w:rsidRPr="00AC5F43" w14:paraId="4695AF73" w14:textId="77777777" w:rsidTr="00AF4475">
        <w:trPr>
          <w:jc w:val="center"/>
        </w:trPr>
        <w:tc>
          <w:tcPr>
            <w:tcW w:w="2409" w:type="dxa"/>
          </w:tcPr>
          <w:p w14:paraId="3AC85067" w14:textId="77777777" w:rsidR="00E429C9" w:rsidRPr="00AC5F43" w:rsidRDefault="00E429C9" w:rsidP="00C375A8">
            <w:pPr>
              <w:rPr>
                <w:b/>
                <w:lang w:val="en-GB"/>
              </w:rPr>
            </w:pPr>
            <w:r w:rsidRPr="00AC5F43">
              <w:rPr>
                <w:b/>
                <w:lang w:val="en-GB"/>
              </w:rPr>
              <w:t>Variable</w:t>
            </w:r>
          </w:p>
        </w:tc>
        <w:tc>
          <w:tcPr>
            <w:tcW w:w="2977" w:type="dxa"/>
          </w:tcPr>
          <w:p w14:paraId="31C161A6" w14:textId="77777777" w:rsidR="00E429C9" w:rsidRPr="00AC5F43" w:rsidRDefault="00E429C9" w:rsidP="00C375A8">
            <w:pPr>
              <w:rPr>
                <w:b/>
                <w:lang w:val="en-GB"/>
              </w:rPr>
            </w:pPr>
            <w:proofErr w:type="spellStart"/>
            <w:r w:rsidRPr="00AC5F43">
              <w:rPr>
                <w:b/>
                <w:lang w:val="en-GB"/>
              </w:rPr>
              <w:t>uIRR</w:t>
            </w:r>
            <w:proofErr w:type="spellEnd"/>
          </w:p>
        </w:tc>
      </w:tr>
      <w:tr w:rsidR="00E429C9" w:rsidRPr="00AC5F43" w14:paraId="1179EF1A" w14:textId="77777777" w:rsidTr="00AF4475">
        <w:trPr>
          <w:jc w:val="center"/>
        </w:trPr>
        <w:tc>
          <w:tcPr>
            <w:tcW w:w="2409" w:type="dxa"/>
          </w:tcPr>
          <w:p w14:paraId="69B5F4E8" w14:textId="77777777" w:rsidR="00E429C9" w:rsidRPr="00AC5F43" w:rsidRDefault="00E429C9" w:rsidP="00C375A8">
            <w:pPr>
              <w:rPr>
                <w:lang w:val="en-GB"/>
              </w:rPr>
            </w:pPr>
            <w:r w:rsidRPr="00AC5F43">
              <w:rPr>
                <w:lang w:val="en-GB"/>
              </w:rPr>
              <w:t>Exposure to PMVC</w:t>
            </w:r>
          </w:p>
        </w:tc>
        <w:tc>
          <w:tcPr>
            <w:tcW w:w="2977" w:type="dxa"/>
          </w:tcPr>
          <w:p w14:paraId="048154B5" w14:textId="77777777" w:rsidR="00E429C9" w:rsidRPr="00AC5F43" w:rsidRDefault="00E429C9" w:rsidP="00C375A8">
            <w:pPr>
              <w:rPr>
                <w:lang w:val="en-GB"/>
              </w:rPr>
            </w:pPr>
            <w:r w:rsidRPr="00AC5F43">
              <w:rPr>
                <w:lang w:val="en-GB"/>
              </w:rPr>
              <w:t>0.71 (0.34 – 1.51)</w:t>
            </w:r>
          </w:p>
        </w:tc>
      </w:tr>
      <w:tr w:rsidR="00E429C9" w:rsidRPr="00AC5F43" w14:paraId="6045671E" w14:textId="77777777" w:rsidTr="00AF4475">
        <w:trPr>
          <w:jc w:val="center"/>
        </w:trPr>
        <w:tc>
          <w:tcPr>
            <w:tcW w:w="2409" w:type="dxa"/>
          </w:tcPr>
          <w:p w14:paraId="76A94663" w14:textId="77777777" w:rsidR="00E429C9" w:rsidRPr="00AC5F43" w:rsidRDefault="00E429C9" w:rsidP="00C375A8">
            <w:pPr>
              <w:rPr>
                <w:lang w:val="en-GB"/>
              </w:rPr>
            </w:pPr>
            <w:r w:rsidRPr="00AC5F43">
              <w:rPr>
                <w:lang w:val="en-GB"/>
              </w:rPr>
              <w:t>Log population</w:t>
            </w:r>
          </w:p>
        </w:tc>
        <w:tc>
          <w:tcPr>
            <w:tcW w:w="2977" w:type="dxa"/>
          </w:tcPr>
          <w:p w14:paraId="56FE2A64" w14:textId="77777777" w:rsidR="00E429C9" w:rsidRPr="00AC5F43" w:rsidRDefault="00E429C9" w:rsidP="00C375A8">
            <w:pPr>
              <w:rPr>
                <w:lang w:val="en-GB"/>
              </w:rPr>
            </w:pPr>
            <w:r w:rsidRPr="00AC5F43">
              <w:rPr>
                <w:lang w:val="en-GB"/>
              </w:rPr>
              <w:t>2.23 (1.54 – 3.22)</w:t>
            </w:r>
          </w:p>
        </w:tc>
      </w:tr>
      <w:tr w:rsidR="00E429C9" w14:paraId="179B1B48" w14:textId="77777777" w:rsidTr="00AF4475">
        <w:trPr>
          <w:jc w:val="center"/>
        </w:trPr>
        <w:tc>
          <w:tcPr>
            <w:tcW w:w="2409" w:type="dxa"/>
          </w:tcPr>
          <w:p w14:paraId="3167EBD0" w14:textId="77777777" w:rsidR="00E429C9" w:rsidRPr="00AC5F43" w:rsidRDefault="00E429C9" w:rsidP="00C375A8">
            <w:pPr>
              <w:rPr>
                <w:lang w:val="en-GB"/>
              </w:rPr>
            </w:pPr>
            <w:r w:rsidRPr="00AC5F43">
              <w:rPr>
                <w:lang w:val="en-GB"/>
              </w:rPr>
              <w:t>Surveillance quality</w:t>
            </w:r>
          </w:p>
        </w:tc>
        <w:tc>
          <w:tcPr>
            <w:tcW w:w="2977" w:type="dxa"/>
          </w:tcPr>
          <w:p w14:paraId="7ACE6825" w14:textId="77777777" w:rsidR="00E429C9" w:rsidRDefault="00E429C9" w:rsidP="00C375A8">
            <w:r w:rsidRPr="00AC5F43">
              <w:rPr>
                <w:lang w:val="en-GB"/>
              </w:rPr>
              <w:t>0.86 (0.69 – 1.07</w:t>
            </w:r>
            <w:r>
              <w:t>)</w:t>
            </w:r>
          </w:p>
        </w:tc>
      </w:tr>
      <w:tr w:rsidR="00E429C9" w14:paraId="7969F902" w14:textId="77777777" w:rsidTr="00AF4475">
        <w:trPr>
          <w:jc w:val="center"/>
        </w:trPr>
        <w:tc>
          <w:tcPr>
            <w:tcW w:w="2409" w:type="dxa"/>
          </w:tcPr>
          <w:p w14:paraId="2103C83D" w14:textId="77777777" w:rsidR="00E429C9" w:rsidRDefault="00E429C9" w:rsidP="00C375A8">
            <w:r>
              <w:t>Longitude</w:t>
            </w:r>
          </w:p>
        </w:tc>
        <w:tc>
          <w:tcPr>
            <w:tcW w:w="2977" w:type="dxa"/>
          </w:tcPr>
          <w:p w14:paraId="29259DAF" w14:textId="77777777" w:rsidR="00E429C9" w:rsidRDefault="00E429C9" w:rsidP="00C375A8">
            <w:r>
              <w:t>0.76 (0.65 – 0.90)</w:t>
            </w:r>
          </w:p>
        </w:tc>
      </w:tr>
      <w:tr w:rsidR="00E429C9" w14:paraId="3E078B09" w14:textId="77777777" w:rsidTr="00AF4475">
        <w:trPr>
          <w:jc w:val="center"/>
        </w:trPr>
        <w:tc>
          <w:tcPr>
            <w:tcW w:w="2409" w:type="dxa"/>
          </w:tcPr>
          <w:p w14:paraId="3E1D72D1" w14:textId="77777777" w:rsidR="00E429C9" w:rsidRDefault="00E429C9" w:rsidP="00C375A8">
            <w:r>
              <w:t xml:space="preserve">Land </w:t>
            </w:r>
            <w:proofErr w:type="spellStart"/>
            <w:r>
              <w:t>cover</w:t>
            </w:r>
            <w:proofErr w:type="spellEnd"/>
            <w:r>
              <w:t xml:space="preserve"> type</w:t>
            </w:r>
          </w:p>
        </w:tc>
        <w:tc>
          <w:tcPr>
            <w:tcW w:w="2977" w:type="dxa"/>
          </w:tcPr>
          <w:p w14:paraId="0ACA8057" w14:textId="77777777" w:rsidR="00E429C9" w:rsidRDefault="00E429C9" w:rsidP="00C375A8">
            <w:r>
              <w:t>0.59 (0.38 – 0.92)</w:t>
            </w:r>
          </w:p>
        </w:tc>
      </w:tr>
      <w:tr w:rsidR="00E429C9" w14:paraId="2B42C27A" w14:textId="77777777" w:rsidTr="00AF4475">
        <w:trPr>
          <w:jc w:val="center"/>
        </w:trPr>
        <w:tc>
          <w:tcPr>
            <w:tcW w:w="2409" w:type="dxa"/>
          </w:tcPr>
          <w:p w14:paraId="04C9D42F" w14:textId="77777777" w:rsidR="00E429C9" w:rsidRDefault="00E429C9" w:rsidP="00C375A8">
            <w:r>
              <w:t>EVI</w:t>
            </w:r>
          </w:p>
        </w:tc>
        <w:tc>
          <w:tcPr>
            <w:tcW w:w="2977" w:type="dxa"/>
          </w:tcPr>
          <w:p w14:paraId="4DDDCC37" w14:textId="77777777" w:rsidR="00E429C9" w:rsidRDefault="00E429C9" w:rsidP="00C375A8">
            <w:r>
              <w:t>1.24 (1.03 – 1.50)</w:t>
            </w:r>
          </w:p>
        </w:tc>
      </w:tr>
      <w:tr w:rsidR="00E429C9" w14:paraId="619FACD1" w14:textId="77777777" w:rsidTr="00AF4475">
        <w:trPr>
          <w:jc w:val="center"/>
        </w:trPr>
        <w:tc>
          <w:tcPr>
            <w:tcW w:w="2409" w:type="dxa"/>
          </w:tcPr>
          <w:p w14:paraId="2A9D68F6" w14:textId="77777777" w:rsidR="00E429C9" w:rsidRDefault="00E429C9" w:rsidP="00C375A8">
            <w:proofErr w:type="spellStart"/>
            <w:r>
              <w:t>Rainfall</w:t>
            </w:r>
            <w:proofErr w:type="spellEnd"/>
          </w:p>
        </w:tc>
        <w:tc>
          <w:tcPr>
            <w:tcW w:w="2977" w:type="dxa"/>
          </w:tcPr>
          <w:p w14:paraId="73D067AD" w14:textId="77777777" w:rsidR="00E429C9" w:rsidRDefault="00E429C9" w:rsidP="00C375A8">
            <w:r>
              <w:t>1.28 (1.08 – 1.5)</w:t>
            </w:r>
          </w:p>
        </w:tc>
      </w:tr>
      <w:tr w:rsidR="00E429C9" w14:paraId="3791DDE6" w14:textId="77777777" w:rsidTr="00AF4475">
        <w:trPr>
          <w:jc w:val="center"/>
        </w:trPr>
        <w:tc>
          <w:tcPr>
            <w:tcW w:w="2409" w:type="dxa"/>
          </w:tcPr>
          <w:p w14:paraId="6892521A" w14:textId="77777777" w:rsidR="00E429C9" w:rsidRDefault="00E429C9" w:rsidP="00C375A8">
            <w:proofErr w:type="spellStart"/>
            <w:r>
              <w:t>Temperature</w:t>
            </w:r>
            <w:proofErr w:type="spellEnd"/>
            <w:r>
              <w:t xml:space="preserve"> </w:t>
            </w:r>
            <w:proofErr w:type="spellStart"/>
            <w:r>
              <w:t>suitability</w:t>
            </w:r>
            <w:proofErr w:type="spellEnd"/>
          </w:p>
        </w:tc>
        <w:tc>
          <w:tcPr>
            <w:tcW w:w="2977" w:type="dxa"/>
          </w:tcPr>
          <w:p w14:paraId="50649473" w14:textId="77777777" w:rsidR="00E429C9" w:rsidRDefault="00E429C9" w:rsidP="00C375A8">
            <w:r>
              <w:t>0.99 (0.97 – 1.00)</w:t>
            </w:r>
          </w:p>
        </w:tc>
      </w:tr>
    </w:tbl>
    <w:p w14:paraId="243F926F" w14:textId="3CE70A89" w:rsidR="00374B96" w:rsidRDefault="00E429C9" w:rsidP="00374B96">
      <w:pPr>
        <w:rPr>
          <w:lang w:val="en-GB"/>
        </w:rPr>
      </w:pPr>
      <w:r w:rsidRPr="00AF4475">
        <w:rPr>
          <w:b/>
          <w:lang w:val="en-GB"/>
        </w:rPr>
        <w:t xml:space="preserve">Table </w:t>
      </w:r>
      <w:r w:rsidR="006C6C86">
        <w:rPr>
          <w:b/>
          <w:lang w:val="en-GB"/>
        </w:rPr>
        <w:t>S</w:t>
      </w:r>
      <w:r w:rsidR="00202009">
        <w:rPr>
          <w:b/>
          <w:lang w:val="en-GB"/>
        </w:rPr>
        <w:t>6</w:t>
      </w:r>
      <w:r w:rsidRPr="00AF4475">
        <w:rPr>
          <w:b/>
          <w:lang w:val="en-GB"/>
        </w:rPr>
        <w:t xml:space="preserve">: </w:t>
      </w:r>
      <w:r w:rsidR="00AF4475" w:rsidRPr="00AF4475">
        <w:rPr>
          <w:lang w:val="en-GB"/>
        </w:rPr>
        <w:t>U</w:t>
      </w:r>
      <w:r w:rsidRPr="00AF4475">
        <w:rPr>
          <w:lang w:val="en-GB"/>
        </w:rPr>
        <w:t>nivariate association</w:t>
      </w:r>
      <w:r w:rsidR="00AF4475">
        <w:rPr>
          <w:lang w:val="en-GB"/>
        </w:rPr>
        <w:t>s</w:t>
      </w:r>
      <w:r w:rsidRPr="00AF4475">
        <w:rPr>
          <w:lang w:val="en-GB"/>
        </w:rPr>
        <w:t xml:space="preserve"> </w:t>
      </w:r>
      <w:r w:rsidR="00AF4475" w:rsidRPr="00AF4475">
        <w:rPr>
          <w:lang w:val="en-GB"/>
        </w:rPr>
        <w:t>between</w:t>
      </w:r>
      <w:r w:rsidRPr="00AF4475">
        <w:rPr>
          <w:lang w:val="en-GB"/>
        </w:rPr>
        <w:t xml:space="preserve"> PMVC, demographic and environmental variables </w:t>
      </w:r>
      <w:r w:rsidR="00AF4475" w:rsidRPr="00AF4475">
        <w:rPr>
          <w:lang w:val="en-GB"/>
        </w:rPr>
        <w:t xml:space="preserve">and </w:t>
      </w:r>
      <w:r w:rsidRPr="00AF4475">
        <w:rPr>
          <w:lang w:val="en-GB"/>
        </w:rPr>
        <w:t>yellow fever outbreak</w:t>
      </w:r>
      <w:r w:rsidR="00AF4475">
        <w:rPr>
          <w:lang w:val="en-GB"/>
        </w:rPr>
        <w:t>.</w:t>
      </w:r>
      <w:r w:rsidR="00AC5F43">
        <w:rPr>
          <w:lang w:val="en-GB"/>
        </w:rPr>
        <w:t xml:space="preserve"> </w:t>
      </w:r>
      <w:proofErr w:type="spellStart"/>
      <w:proofErr w:type="gramStart"/>
      <w:r w:rsidR="00AC5F43">
        <w:rPr>
          <w:lang w:val="en-GB"/>
        </w:rPr>
        <w:t>uIRR</w:t>
      </w:r>
      <w:proofErr w:type="spellEnd"/>
      <w:proofErr w:type="gramEnd"/>
      <w:r w:rsidR="00AC5F43">
        <w:rPr>
          <w:lang w:val="en-GB"/>
        </w:rPr>
        <w:t>: univariate incidence rate ratio.</w:t>
      </w:r>
    </w:p>
    <w:p w14:paraId="4C6631B9" w14:textId="697C0EEF" w:rsidR="00ED6C9D" w:rsidRDefault="00ED6C9D" w:rsidP="00374B96">
      <w:pPr>
        <w:rPr>
          <w:lang w:val="en-GB"/>
        </w:rPr>
      </w:pPr>
    </w:p>
    <w:p w14:paraId="5755D125" w14:textId="21786292" w:rsidR="00ED6C9D" w:rsidRDefault="00ED6C9D" w:rsidP="00374B96">
      <w:pPr>
        <w:rPr>
          <w:lang w:val="en-GB"/>
        </w:rPr>
      </w:pPr>
    </w:p>
    <w:p w14:paraId="226A4DD6" w14:textId="3E18951A" w:rsidR="00ED6C9D" w:rsidRDefault="00ED6C9D" w:rsidP="00374B96">
      <w:pPr>
        <w:rPr>
          <w:lang w:val="en-GB"/>
        </w:rPr>
      </w:pPr>
    </w:p>
    <w:p w14:paraId="501CEBD3" w14:textId="0B20BB5C" w:rsidR="00ED6C9D" w:rsidRDefault="00ED6C9D" w:rsidP="00374B96">
      <w:pPr>
        <w:rPr>
          <w:lang w:val="en-GB"/>
        </w:rPr>
      </w:pPr>
    </w:p>
    <w:p w14:paraId="01C077E4" w14:textId="1F097E34" w:rsidR="00ED6C9D" w:rsidRDefault="00ED6C9D" w:rsidP="00374B96">
      <w:pPr>
        <w:rPr>
          <w:lang w:val="en-GB"/>
        </w:rPr>
      </w:pPr>
    </w:p>
    <w:p w14:paraId="4A3B645C" w14:textId="11CE9594" w:rsidR="00ED6C9D" w:rsidRDefault="00ED6C9D" w:rsidP="00374B96">
      <w:pPr>
        <w:rPr>
          <w:lang w:val="en-GB"/>
        </w:rPr>
      </w:pPr>
    </w:p>
    <w:p w14:paraId="3D4D0504" w14:textId="19FBCA8B" w:rsidR="00ED6C9D" w:rsidRDefault="00ED6C9D" w:rsidP="00374B96">
      <w:pPr>
        <w:rPr>
          <w:lang w:val="en-GB"/>
        </w:rPr>
      </w:pPr>
    </w:p>
    <w:p w14:paraId="6B95ED7E" w14:textId="77777777" w:rsidR="00ED6C9D" w:rsidRPr="00AF4475" w:rsidRDefault="00ED6C9D" w:rsidP="00374B96">
      <w:pPr>
        <w:rPr>
          <w:lang w:val="en-GB"/>
        </w:rPr>
      </w:pPr>
    </w:p>
    <w:p w14:paraId="24DF8DB8" w14:textId="2F4CA143" w:rsidR="00374B96" w:rsidRDefault="00374B96" w:rsidP="00374B96">
      <w:pPr>
        <w:rPr>
          <w:rFonts w:asciiTheme="majorHAnsi" w:hAnsiTheme="majorHAnsi" w:cstheme="majorHAnsi"/>
          <w:b/>
          <w:bCs/>
          <w:color w:val="000000"/>
          <w:sz w:val="24"/>
          <w:szCs w:val="24"/>
          <w:lang w:val="en-GB"/>
        </w:rPr>
      </w:pPr>
    </w:p>
    <w:tbl>
      <w:tblPr>
        <w:tblStyle w:val="Grilledutableau"/>
        <w:tblW w:w="6882" w:type="dxa"/>
        <w:jc w:val="center"/>
        <w:tblLook w:val="04A0" w:firstRow="1" w:lastRow="0" w:firstColumn="1" w:lastColumn="0" w:noHBand="0" w:noVBand="1"/>
      </w:tblPr>
      <w:tblGrid>
        <w:gridCol w:w="1560"/>
        <w:gridCol w:w="2409"/>
        <w:gridCol w:w="2913"/>
      </w:tblGrid>
      <w:tr w:rsidR="00AF4475" w:rsidRPr="00AC5F43" w14:paraId="0597CE3A" w14:textId="77777777" w:rsidTr="00AF4475">
        <w:trPr>
          <w:jc w:val="center"/>
        </w:trPr>
        <w:tc>
          <w:tcPr>
            <w:tcW w:w="1560" w:type="dxa"/>
            <w:tcBorders>
              <w:bottom w:val="single" w:sz="12" w:space="0" w:color="auto"/>
            </w:tcBorders>
          </w:tcPr>
          <w:p w14:paraId="0BD50ED3" w14:textId="77777777" w:rsidR="00AF4475" w:rsidRPr="00AC5F43" w:rsidRDefault="00AF4475" w:rsidP="00C375A8">
            <w:pPr>
              <w:rPr>
                <w:b/>
                <w:lang w:val="en-GB"/>
              </w:rPr>
            </w:pPr>
            <w:r w:rsidRPr="00AC5F43">
              <w:rPr>
                <w:b/>
                <w:lang w:val="en-GB"/>
              </w:rPr>
              <w:lastRenderedPageBreak/>
              <w:t>Model</w:t>
            </w:r>
          </w:p>
        </w:tc>
        <w:tc>
          <w:tcPr>
            <w:tcW w:w="2409" w:type="dxa"/>
            <w:tcBorders>
              <w:bottom w:val="single" w:sz="12" w:space="0" w:color="auto"/>
            </w:tcBorders>
          </w:tcPr>
          <w:p w14:paraId="07A676AB" w14:textId="3EC62D4E" w:rsidR="00AF4475" w:rsidRPr="00AC5F43" w:rsidRDefault="00AF4475" w:rsidP="00C375A8">
            <w:pPr>
              <w:rPr>
                <w:b/>
                <w:lang w:val="en-GB"/>
              </w:rPr>
            </w:pPr>
            <w:r w:rsidRPr="00AC5F43">
              <w:rPr>
                <w:b/>
                <w:lang w:val="en-GB"/>
              </w:rPr>
              <w:t>Variable</w:t>
            </w:r>
          </w:p>
        </w:tc>
        <w:tc>
          <w:tcPr>
            <w:tcW w:w="2913" w:type="dxa"/>
            <w:tcBorders>
              <w:bottom w:val="single" w:sz="12" w:space="0" w:color="auto"/>
            </w:tcBorders>
          </w:tcPr>
          <w:p w14:paraId="1957EA93" w14:textId="2BBB27BB" w:rsidR="00AF4475" w:rsidRPr="00AC5F43" w:rsidRDefault="00AF4475" w:rsidP="00374B96">
            <w:pPr>
              <w:rPr>
                <w:b/>
                <w:lang w:val="en-GB"/>
              </w:rPr>
            </w:pPr>
            <w:proofErr w:type="spellStart"/>
            <w:r w:rsidRPr="00AC5F43">
              <w:rPr>
                <w:b/>
                <w:lang w:val="en-GB"/>
              </w:rPr>
              <w:t>aIRR</w:t>
            </w:r>
            <w:proofErr w:type="spellEnd"/>
          </w:p>
        </w:tc>
      </w:tr>
      <w:tr w:rsidR="00AF4475" w:rsidRPr="00AC5F43" w14:paraId="56A3A83E" w14:textId="77777777" w:rsidTr="00AF4475">
        <w:trPr>
          <w:jc w:val="center"/>
        </w:trPr>
        <w:tc>
          <w:tcPr>
            <w:tcW w:w="1560" w:type="dxa"/>
            <w:tcBorders>
              <w:top w:val="single" w:sz="12" w:space="0" w:color="auto"/>
            </w:tcBorders>
          </w:tcPr>
          <w:p w14:paraId="237216D3" w14:textId="2512C191" w:rsidR="00AF4475" w:rsidRPr="00AC5F43" w:rsidRDefault="00AF4475" w:rsidP="00C375A8">
            <w:pPr>
              <w:rPr>
                <w:b/>
                <w:lang w:val="en-GB"/>
              </w:rPr>
            </w:pPr>
            <w:r w:rsidRPr="00AC5F43">
              <w:rPr>
                <w:lang w:val="en-GB"/>
              </w:rPr>
              <w:t>Statistical model (cohort model 1)</w:t>
            </w:r>
          </w:p>
        </w:tc>
        <w:tc>
          <w:tcPr>
            <w:tcW w:w="2409" w:type="dxa"/>
            <w:tcBorders>
              <w:top w:val="single" w:sz="12" w:space="0" w:color="auto"/>
            </w:tcBorders>
          </w:tcPr>
          <w:p w14:paraId="6AE25496" w14:textId="3C87A17E" w:rsidR="00AF4475" w:rsidRPr="00AC5F43" w:rsidRDefault="00AF4475" w:rsidP="00C375A8">
            <w:pPr>
              <w:rPr>
                <w:lang w:val="en-GB"/>
              </w:rPr>
            </w:pPr>
            <w:r w:rsidRPr="00AC5F43">
              <w:rPr>
                <w:lang w:val="en-GB"/>
              </w:rPr>
              <w:t>Exposure to PMVC</w:t>
            </w:r>
          </w:p>
        </w:tc>
        <w:tc>
          <w:tcPr>
            <w:tcW w:w="2913" w:type="dxa"/>
            <w:tcBorders>
              <w:top w:val="single" w:sz="12" w:space="0" w:color="auto"/>
            </w:tcBorders>
          </w:tcPr>
          <w:p w14:paraId="65AA7050" w14:textId="239B6192" w:rsidR="00AF4475" w:rsidRPr="00AC5F43" w:rsidRDefault="00AF4475" w:rsidP="00374B96">
            <w:pPr>
              <w:rPr>
                <w:lang w:val="en-GB"/>
              </w:rPr>
            </w:pPr>
            <w:r w:rsidRPr="00AC5F43">
              <w:rPr>
                <w:lang w:val="en-GB"/>
              </w:rPr>
              <w:t>0.43 (0.18 – 1.02)</w:t>
            </w:r>
          </w:p>
        </w:tc>
      </w:tr>
      <w:tr w:rsidR="00AF4475" w14:paraId="3A46A1E0" w14:textId="77777777" w:rsidTr="00AF4475">
        <w:trPr>
          <w:jc w:val="center"/>
        </w:trPr>
        <w:tc>
          <w:tcPr>
            <w:tcW w:w="1560" w:type="dxa"/>
          </w:tcPr>
          <w:p w14:paraId="2BCF4B68" w14:textId="08CFC059" w:rsidR="00AF4475" w:rsidRPr="00AC5F43" w:rsidRDefault="00AF4475" w:rsidP="00C375A8">
            <w:pPr>
              <w:rPr>
                <w:lang w:val="en-GB"/>
              </w:rPr>
            </w:pPr>
          </w:p>
        </w:tc>
        <w:tc>
          <w:tcPr>
            <w:tcW w:w="2409" w:type="dxa"/>
          </w:tcPr>
          <w:p w14:paraId="1019F233" w14:textId="2AB06D7A" w:rsidR="00AF4475" w:rsidRPr="00AC5F43" w:rsidRDefault="00AF4475" w:rsidP="00C375A8">
            <w:pPr>
              <w:rPr>
                <w:lang w:val="en-GB"/>
              </w:rPr>
            </w:pPr>
            <w:r w:rsidRPr="00AC5F43">
              <w:rPr>
                <w:lang w:val="en-GB"/>
              </w:rPr>
              <w:t>Log population</w:t>
            </w:r>
          </w:p>
        </w:tc>
        <w:tc>
          <w:tcPr>
            <w:tcW w:w="2913" w:type="dxa"/>
          </w:tcPr>
          <w:p w14:paraId="7A9A62AB" w14:textId="1E7CBB23" w:rsidR="00AF4475" w:rsidRPr="00AF4475" w:rsidRDefault="00AF4475" w:rsidP="00C375A8">
            <w:r w:rsidRPr="00AC5F43">
              <w:rPr>
                <w:lang w:val="en-GB"/>
              </w:rPr>
              <w:t>3.19 (1.87 – 5.4</w:t>
            </w:r>
            <w:r w:rsidRPr="00AF4475">
              <w:t>5)</w:t>
            </w:r>
          </w:p>
        </w:tc>
      </w:tr>
      <w:tr w:rsidR="00AF4475" w14:paraId="1E290127" w14:textId="77777777" w:rsidTr="00AF4475">
        <w:trPr>
          <w:jc w:val="center"/>
        </w:trPr>
        <w:tc>
          <w:tcPr>
            <w:tcW w:w="1560" w:type="dxa"/>
          </w:tcPr>
          <w:p w14:paraId="617EF62C" w14:textId="18F488C6" w:rsidR="00AF4475" w:rsidRDefault="00AF4475" w:rsidP="00C375A8"/>
        </w:tc>
        <w:tc>
          <w:tcPr>
            <w:tcW w:w="2409" w:type="dxa"/>
          </w:tcPr>
          <w:p w14:paraId="2843CCD3" w14:textId="13ABF743" w:rsidR="00AF4475" w:rsidRPr="00AF4475" w:rsidRDefault="00AF4475" w:rsidP="00C375A8">
            <w:r w:rsidRPr="00AF4475">
              <w:t xml:space="preserve">Surveillance </w:t>
            </w:r>
            <w:proofErr w:type="spellStart"/>
            <w:r w:rsidRPr="00AF4475">
              <w:t>quality</w:t>
            </w:r>
            <w:proofErr w:type="spellEnd"/>
          </w:p>
        </w:tc>
        <w:tc>
          <w:tcPr>
            <w:tcW w:w="2913" w:type="dxa"/>
          </w:tcPr>
          <w:p w14:paraId="5724C924" w14:textId="3F219FB5" w:rsidR="00AF4475" w:rsidRPr="00AF4475" w:rsidRDefault="00AF4475" w:rsidP="00C375A8">
            <w:r w:rsidRPr="00AF4475">
              <w:t>1.09 (0.88 – 1.34)</w:t>
            </w:r>
          </w:p>
        </w:tc>
      </w:tr>
      <w:tr w:rsidR="00AF4475" w14:paraId="0DC9BF75" w14:textId="77777777" w:rsidTr="00AF4475">
        <w:trPr>
          <w:jc w:val="center"/>
        </w:trPr>
        <w:tc>
          <w:tcPr>
            <w:tcW w:w="1560" w:type="dxa"/>
          </w:tcPr>
          <w:p w14:paraId="261DE8CC" w14:textId="68FB917D" w:rsidR="00AF4475" w:rsidRDefault="00AF4475" w:rsidP="00C375A8"/>
        </w:tc>
        <w:tc>
          <w:tcPr>
            <w:tcW w:w="2409" w:type="dxa"/>
          </w:tcPr>
          <w:p w14:paraId="751B4F3A" w14:textId="46C7FC10" w:rsidR="00AF4475" w:rsidRPr="00AF4475" w:rsidRDefault="00AF4475" w:rsidP="00C375A8">
            <w:r w:rsidRPr="00AF4475">
              <w:t>Longitude</w:t>
            </w:r>
          </w:p>
        </w:tc>
        <w:tc>
          <w:tcPr>
            <w:tcW w:w="2913" w:type="dxa"/>
          </w:tcPr>
          <w:p w14:paraId="0FCBE464" w14:textId="7C6ACC65" w:rsidR="00AF4475" w:rsidRPr="00AF4475" w:rsidRDefault="00AF4475" w:rsidP="00C375A8">
            <w:r w:rsidRPr="00AF4475">
              <w:t>0.63 (0.49 – 0.81)</w:t>
            </w:r>
          </w:p>
        </w:tc>
      </w:tr>
      <w:tr w:rsidR="00AF4475" w14:paraId="16CA1E27" w14:textId="77777777" w:rsidTr="00AF4475">
        <w:trPr>
          <w:jc w:val="center"/>
        </w:trPr>
        <w:tc>
          <w:tcPr>
            <w:tcW w:w="1560" w:type="dxa"/>
            <w:tcBorders>
              <w:bottom w:val="single" w:sz="4" w:space="0" w:color="auto"/>
            </w:tcBorders>
          </w:tcPr>
          <w:p w14:paraId="427AFB25" w14:textId="77777777" w:rsidR="00AF4475" w:rsidRDefault="00AF4475" w:rsidP="00C375A8"/>
        </w:tc>
        <w:tc>
          <w:tcPr>
            <w:tcW w:w="2409" w:type="dxa"/>
            <w:tcBorders>
              <w:bottom w:val="single" w:sz="4" w:space="0" w:color="auto"/>
            </w:tcBorders>
          </w:tcPr>
          <w:p w14:paraId="0301909D" w14:textId="3CBDCA0C" w:rsidR="00AF4475" w:rsidRPr="00AF4475" w:rsidRDefault="00AF4475" w:rsidP="00C375A8">
            <w:r w:rsidRPr="00AF4475">
              <w:t xml:space="preserve">Land </w:t>
            </w:r>
            <w:proofErr w:type="spellStart"/>
            <w:r w:rsidRPr="00AF4475">
              <w:t>cover</w:t>
            </w:r>
            <w:proofErr w:type="spellEnd"/>
            <w:r w:rsidRPr="00AF4475">
              <w:t xml:space="preserve"> type</w:t>
            </w:r>
          </w:p>
        </w:tc>
        <w:tc>
          <w:tcPr>
            <w:tcW w:w="2913" w:type="dxa"/>
            <w:tcBorders>
              <w:bottom w:val="single" w:sz="4" w:space="0" w:color="auto"/>
            </w:tcBorders>
          </w:tcPr>
          <w:p w14:paraId="4AC8DCC4" w14:textId="06FC47BB" w:rsidR="00AF4475" w:rsidRPr="00AF4475" w:rsidRDefault="00AF4475" w:rsidP="00C375A8">
            <w:r w:rsidRPr="00AF4475">
              <w:t>0.44 (0.21 – 0.94)</w:t>
            </w:r>
          </w:p>
        </w:tc>
      </w:tr>
      <w:tr w:rsidR="00AF4475" w14:paraId="1986C075" w14:textId="77777777" w:rsidTr="00AF4475">
        <w:trPr>
          <w:jc w:val="center"/>
        </w:trPr>
        <w:tc>
          <w:tcPr>
            <w:tcW w:w="1560" w:type="dxa"/>
            <w:tcBorders>
              <w:bottom w:val="single" w:sz="12" w:space="0" w:color="auto"/>
            </w:tcBorders>
          </w:tcPr>
          <w:p w14:paraId="51D1D995" w14:textId="77777777" w:rsidR="00AF4475" w:rsidRDefault="00AF4475" w:rsidP="00C375A8"/>
        </w:tc>
        <w:tc>
          <w:tcPr>
            <w:tcW w:w="2409" w:type="dxa"/>
            <w:tcBorders>
              <w:bottom w:val="single" w:sz="12" w:space="0" w:color="auto"/>
            </w:tcBorders>
          </w:tcPr>
          <w:p w14:paraId="7A94FF5E" w14:textId="522431F0" w:rsidR="00AF4475" w:rsidRPr="00AF4475" w:rsidRDefault="00AF4475" w:rsidP="00C375A8">
            <w:r w:rsidRPr="00AF4475">
              <w:t>EVI</w:t>
            </w:r>
          </w:p>
        </w:tc>
        <w:tc>
          <w:tcPr>
            <w:tcW w:w="2913" w:type="dxa"/>
            <w:tcBorders>
              <w:bottom w:val="single" w:sz="12" w:space="0" w:color="auto"/>
            </w:tcBorders>
          </w:tcPr>
          <w:p w14:paraId="79D91EFD" w14:textId="6B7F822B" w:rsidR="00AF4475" w:rsidRPr="00AF4475" w:rsidRDefault="00AF4475" w:rsidP="00C375A8">
            <w:r w:rsidRPr="00AF4475">
              <w:t>1.62 (1.28 – 2.03)</w:t>
            </w:r>
          </w:p>
        </w:tc>
      </w:tr>
      <w:tr w:rsidR="00AF4475" w14:paraId="4C004874" w14:textId="77777777" w:rsidTr="00AF4475">
        <w:trPr>
          <w:jc w:val="center"/>
        </w:trPr>
        <w:tc>
          <w:tcPr>
            <w:tcW w:w="1560" w:type="dxa"/>
            <w:tcBorders>
              <w:top w:val="single" w:sz="12" w:space="0" w:color="auto"/>
            </w:tcBorders>
          </w:tcPr>
          <w:p w14:paraId="4AAE4CB2" w14:textId="5346DFC2" w:rsidR="00AF4475" w:rsidRDefault="00AF4475" w:rsidP="00C375A8">
            <w:proofErr w:type="spellStart"/>
            <w:r>
              <w:t>Mechanistic</w:t>
            </w:r>
            <w:proofErr w:type="spellEnd"/>
            <w:r>
              <w:t xml:space="preserve"> model (</w:t>
            </w:r>
            <w:proofErr w:type="spellStart"/>
            <w:r>
              <w:t>cohort</w:t>
            </w:r>
            <w:proofErr w:type="spellEnd"/>
            <w:r>
              <w:t xml:space="preserve"> model 3)</w:t>
            </w:r>
          </w:p>
        </w:tc>
        <w:tc>
          <w:tcPr>
            <w:tcW w:w="2409" w:type="dxa"/>
            <w:tcBorders>
              <w:top w:val="single" w:sz="12" w:space="0" w:color="auto"/>
            </w:tcBorders>
          </w:tcPr>
          <w:p w14:paraId="1BC12B7F" w14:textId="3DA4B174" w:rsidR="00AF4475" w:rsidRPr="00AF4475" w:rsidRDefault="00AF4475" w:rsidP="00C375A8">
            <w:proofErr w:type="spellStart"/>
            <w:r w:rsidRPr="00AF4475">
              <w:t>Exposure</w:t>
            </w:r>
            <w:proofErr w:type="spellEnd"/>
            <w:r w:rsidRPr="00AF4475">
              <w:t xml:space="preserve"> to PMVC</w:t>
            </w:r>
          </w:p>
        </w:tc>
        <w:tc>
          <w:tcPr>
            <w:tcW w:w="2913" w:type="dxa"/>
            <w:tcBorders>
              <w:top w:val="single" w:sz="12" w:space="0" w:color="auto"/>
            </w:tcBorders>
          </w:tcPr>
          <w:p w14:paraId="2B32840A" w14:textId="34D30B13" w:rsidR="00AF4475" w:rsidRPr="00AF4475" w:rsidRDefault="00AF4475" w:rsidP="00C375A8">
            <w:r w:rsidRPr="00AF4475">
              <w:t>0.76 (0.32 – 1.81)</w:t>
            </w:r>
          </w:p>
        </w:tc>
      </w:tr>
      <w:tr w:rsidR="00AF4475" w14:paraId="4A9D0CE2" w14:textId="77777777" w:rsidTr="00AF4475">
        <w:trPr>
          <w:jc w:val="center"/>
        </w:trPr>
        <w:tc>
          <w:tcPr>
            <w:tcW w:w="1560" w:type="dxa"/>
          </w:tcPr>
          <w:p w14:paraId="0FC29F82" w14:textId="38774961" w:rsidR="00AF4475" w:rsidRDefault="00AF4475" w:rsidP="00C375A8"/>
        </w:tc>
        <w:tc>
          <w:tcPr>
            <w:tcW w:w="2409" w:type="dxa"/>
          </w:tcPr>
          <w:p w14:paraId="25B22B98" w14:textId="1CBE5A5D" w:rsidR="00AF4475" w:rsidRPr="00AF4475" w:rsidRDefault="00AF4475" w:rsidP="00C375A8">
            <w:r w:rsidRPr="00AF4475">
              <w:t>Log population</w:t>
            </w:r>
          </w:p>
        </w:tc>
        <w:tc>
          <w:tcPr>
            <w:tcW w:w="2913" w:type="dxa"/>
          </w:tcPr>
          <w:p w14:paraId="01738EB0" w14:textId="41CE08DA" w:rsidR="00AF4475" w:rsidRPr="00AF4475" w:rsidRDefault="00AF4475" w:rsidP="00C375A8">
            <w:r w:rsidRPr="00AF4475">
              <w:t>2.15 (1.33 – 3.50)</w:t>
            </w:r>
          </w:p>
        </w:tc>
      </w:tr>
      <w:tr w:rsidR="00AF4475" w14:paraId="780941B9" w14:textId="77777777" w:rsidTr="00AF4475">
        <w:trPr>
          <w:jc w:val="center"/>
        </w:trPr>
        <w:tc>
          <w:tcPr>
            <w:tcW w:w="1560" w:type="dxa"/>
          </w:tcPr>
          <w:p w14:paraId="63644E68" w14:textId="469D56E9" w:rsidR="00AF4475" w:rsidRPr="00374B96" w:rsidRDefault="00AF4475" w:rsidP="00C375A8">
            <w:pPr>
              <w:rPr>
                <w:lang w:val="en-GB"/>
              </w:rPr>
            </w:pPr>
          </w:p>
        </w:tc>
        <w:tc>
          <w:tcPr>
            <w:tcW w:w="2409" w:type="dxa"/>
          </w:tcPr>
          <w:p w14:paraId="76BA5163" w14:textId="253DE9B6" w:rsidR="00AF4475" w:rsidRPr="00AF4475" w:rsidRDefault="00AF4475" w:rsidP="00C375A8">
            <w:r w:rsidRPr="00AF4475">
              <w:t xml:space="preserve">Surveillance </w:t>
            </w:r>
            <w:proofErr w:type="spellStart"/>
            <w:r w:rsidRPr="00AF4475">
              <w:t>quality</w:t>
            </w:r>
            <w:proofErr w:type="spellEnd"/>
          </w:p>
        </w:tc>
        <w:tc>
          <w:tcPr>
            <w:tcW w:w="2913" w:type="dxa"/>
          </w:tcPr>
          <w:p w14:paraId="795BCACB" w14:textId="7256735E" w:rsidR="00AF4475" w:rsidRPr="00AF4475" w:rsidRDefault="00AF4475" w:rsidP="00C375A8">
            <w:r w:rsidRPr="00AF4475">
              <w:t>0.98 (0.77 – 1. 25)</w:t>
            </w:r>
          </w:p>
        </w:tc>
      </w:tr>
      <w:tr w:rsidR="00AF4475" w14:paraId="6CA53E2A" w14:textId="77777777" w:rsidTr="00AF4475">
        <w:trPr>
          <w:jc w:val="center"/>
        </w:trPr>
        <w:tc>
          <w:tcPr>
            <w:tcW w:w="1560" w:type="dxa"/>
          </w:tcPr>
          <w:p w14:paraId="1423B3FC" w14:textId="7718CD24" w:rsidR="00AF4475" w:rsidRDefault="00AF4475" w:rsidP="00C375A8"/>
        </w:tc>
        <w:tc>
          <w:tcPr>
            <w:tcW w:w="2409" w:type="dxa"/>
          </w:tcPr>
          <w:p w14:paraId="5A165B99" w14:textId="4D46DB97" w:rsidR="00AF4475" w:rsidRPr="00AF4475" w:rsidRDefault="00AF4475" w:rsidP="00C375A8">
            <w:r w:rsidRPr="00AF4475">
              <w:t>EVI</w:t>
            </w:r>
          </w:p>
        </w:tc>
        <w:tc>
          <w:tcPr>
            <w:tcW w:w="2913" w:type="dxa"/>
          </w:tcPr>
          <w:p w14:paraId="3BC01BA4" w14:textId="0DECE268" w:rsidR="00AF4475" w:rsidRPr="00AF4475" w:rsidRDefault="00AF4475" w:rsidP="00405BED">
            <w:r w:rsidRPr="00AF4475">
              <w:t>1.25 (0.84 – 1.86)</w:t>
            </w:r>
          </w:p>
        </w:tc>
      </w:tr>
      <w:tr w:rsidR="00AF4475" w14:paraId="2C28D3A2" w14:textId="77777777" w:rsidTr="00AF4475">
        <w:trPr>
          <w:jc w:val="center"/>
        </w:trPr>
        <w:tc>
          <w:tcPr>
            <w:tcW w:w="1560" w:type="dxa"/>
            <w:tcBorders>
              <w:bottom w:val="single" w:sz="4" w:space="0" w:color="auto"/>
            </w:tcBorders>
          </w:tcPr>
          <w:p w14:paraId="5C423390" w14:textId="0185330D" w:rsidR="00AF4475" w:rsidRPr="00374B96" w:rsidRDefault="00AF4475" w:rsidP="00C375A8">
            <w:pPr>
              <w:rPr>
                <w:lang w:val="en-GB"/>
              </w:rPr>
            </w:pPr>
          </w:p>
        </w:tc>
        <w:tc>
          <w:tcPr>
            <w:tcW w:w="2409" w:type="dxa"/>
            <w:tcBorders>
              <w:bottom w:val="single" w:sz="4" w:space="0" w:color="auto"/>
            </w:tcBorders>
          </w:tcPr>
          <w:p w14:paraId="702D8377" w14:textId="3618D7FB" w:rsidR="00AF4475" w:rsidRDefault="00AF4475" w:rsidP="00C375A8">
            <w:proofErr w:type="spellStart"/>
            <w:r>
              <w:t>Rainfall</w:t>
            </w:r>
            <w:proofErr w:type="spellEnd"/>
          </w:p>
        </w:tc>
        <w:tc>
          <w:tcPr>
            <w:tcW w:w="2913" w:type="dxa"/>
            <w:tcBorders>
              <w:bottom w:val="single" w:sz="4" w:space="0" w:color="auto"/>
            </w:tcBorders>
          </w:tcPr>
          <w:p w14:paraId="65E12E05" w14:textId="4FDF990B" w:rsidR="00AF4475" w:rsidRDefault="00AF4475" w:rsidP="00C375A8">
            <w:r>
              <w:t>1.17 (0.93 – 1.48)</w:t>
            </w:r>
          </w:p>
        </w:tc>
      </w:tr>
      <w:tr w:rsidR="00AF4475" w14:paraId="7FE00A4E" w14:textId="77777777" w:rsidTr="00AF4475">
        <w:trPr>
          <w:jc w:val="center"/>
        </w:trPr>
        <w:tc>
          <w:tcPr>
            <w:tcW w:w="1560" w:type="dxa"/>
            <w:tcBorders>
              <w:bottom w:val="single" w:sz="12" w:space="0" w:color="auto"/>
            </w:tcBorders>
          </w:tcPr>
          <w:p w14:paraId="371344A8" w14:textId="6B406A33" w:rsidR="00AF4475" w:rsidRPr="00374B96" w:rsidRDefault="00AF4475" w:rsidP="00C375A8">
            <w:pPr>
              <w:rPr>
                <w:lang w:val="en-GB"/>
              </w:rPr>
            </w:pPr>
          </w:p>
        </w:tc>
        <w:tc>
          <w:tcPr>
            <w:tcW w:w="2409" w:type="dxa"/>
            <w:tcBorders>
              <w:bottom w:val="single" w:sz="12" w:space="0" w:color="auto"/>
            </w:tcBorders>
          </w:tcPr>
          <w:p w14:paraId="6BA70069" w14:textId="6284C70D" w:rsidR="00AF4475" w:rsidRDefault="00AF4475" w:rsidP="00C375A8">
            <w:proofErr w:type="spellStart"/>
            <w:r>
              <w:t>Temperature</w:t>
            </w:r>
            <w:proofErr w:type="spellEnd"/>
            <w:r>
              <w:t xml:space="preserve"> </w:t>
            </w:r>
            <w:proofErr w:type="spellStart"/>
            <w:r>
              <w:t>suitability</w:t>
            </w:r>
            <w:proofErr w:type="spellEnd"/>
          </w:p>
        </w:tc>
        <w:tc>
          <w:tcPr>
            <w:tcW w:w="2913" w:type="dxa"/>
            <w:tcBorders>
              <w:bottom w:val="single" w:sz="12" w:space="0" w:color="auto"/>
            </w:tcBorders>
          </w:tcPr>
          <w:p w14:paraId="6C5474BD" w14:textId="585EC0C2" w:rsidR="00AF4475" w:rsidRDefault="00AF4475" w:rsidP="00C375A8">
            <w:r>
              <w:t>1.01 (0.98 – 1.04)</w:t>
            </w:r>
          </w:p>
        </w:tc>
      </w:tr>
    </w:tbl>
    <w:p w14:paraId="29D363E1" w14:textId="4730128A" w:rsidR="00374B96" w:rsidRDefault="006C6C86" w:rsidP="00AF4475">
      <w:pPr>
        <w:rPr>
          <w:lang w:val="en-GB"/>
        </w:rPr>
      </w:pPr>
      <w:r>
        <w:rPr>
          <w:b/>
          <w:lang w:val="en-GB"/>
        </w:rPr>
        <w:t>Table S</w:t>
      </w:r>
      <w:r w:rsidR="00202009">
        <w:rPr>
          <w:b/>
          <w:lang w:val="en-GB"/>
        </w:rPr>
        <w:t>7</w:t>
      </w:r>
      <w:r w:rsidR="00E429C9" w:rsidRPr="00940C74">
        <w:rPr>
          <w:b/>
          <w:lang w:val="en-GB"/>
        </w:rPr>
        <w:t>:</w:t>
      </w:r>
      <w:r w:rsidR="00E429C9">
        <w:rPr>
          <w:rFonts w:asciiTheme="majorHAnsi" w:hAnsiTheme="majorHAnsi" w:cstheme="majorHAnsi"/>
          <w:b/>
          <w:bCs/>
          <w:color w:val="000000"/>
          <w:sz w:val="24"/>
          <w:szCs w:val="24"/>
          <w:lang w:val="en-GB"/>
        </w:rPr>
        <w:t xml:space="preserve"> </w:t>
      </w:r>
      <w:r w:rsidR="00AF4475">
        <w:rPr>
          <w:lang w:val="en-GB"/>
        </w:rPr>
        <w:t>Multivariate</w:t>
      </w:r>
      <w:r w:rsidR="00AF4475" w:rsidRPr="00AF4475">
        <w:rPr>
          <w:lang w:val="en-GB"/>
        </w:rPr>
        <w:t xml:space="preserve"> association between PMVC, demographic and environmental variables and yellow fever outbreak</w:t>
      </w:r>
      <w:r w:rsidR="00AF4475">
        <w:rPr>
          <w:lang w:val="en-GB"/>
        </w:rPr>
        <w:t>, according to a statistical and a mechanistic model.</w:t>
      </w:r>
      <w:r w:rsidR="00AC5F43">
        <w:rPr>
          <w:lang w:val="en-GB"/>
        </w:rPr>
        <w:t xml:space="preserve"> </w:t>
      </w:r>
      <w:proofErr w:type="spellStart"/>
      <w:proofErr w:type="gramStart"/>
      <w:r w:rsidR="00AC5F43">
        <w:rPr>
          <w:lang w:val="en-GB"/>
        </w:rPr>
        <w:t>aIRR</w:t>
      </w:r>
      <w:proofErr w:type="spellEnd"/>
      <w:proofErr w:type="gramEnd"/>
      <w:r w:rsidR="00AC5F43">
        <w:rPr>
          <w:lang w:val="en-GB"/>
        </w:rPr>
        <w:t>: adjusted incidence rate ratio.</w:t>
      </w:r>
    </w:p>
    <w:sectPr w:rsidR="00374B96" w:rsidSect="00651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71B8E" w14:textId="77777777" w:rsidR="006B6026" w:rsidRDefault="006B6026" w:rsidP="001E1394">
      <w:pPr>
        <w:spacing w:after="0" w:line="240" w:lineRule="auto"/>
      </w:pPr>
      <w:r>
        <w:separator/>
      </w:r>
    </w:p>
  </w:endnote>
  <w:endnote w:type="continuationSeparator" w:id="0">
    <w:p w14:paraId="6E875C45" w14:textId="77777777" w:rsidR="006B6026" w:rsidRDefault="006B6026" w:rsidP="001E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876253"/>
      <w:docPartObj>
        <w:docPartGallery w:val="Page Numbers (Bottom of Page)"/>
        <w:docPartUnique/>
      </w:docPartObj>
    </w:sdtPr>
    <w:sdtEndPr/>
    <w:sdtContent>
      <w:p w14:paraId="3147F5E7" w14:textId="08F8968D" w:rsidR="001E1394" w:rsidRDefault="001E1394">
        <w:pPr>
          <w:pStyle w:val="Pieddepage"/>
          <w:jc w:val="right"/>
        </w:pPr>
        <w:r>
          <w:fldChar w:fldCharType="begin"/>
        </w:r>
        <w:r>
          <w:instrText>PAGE   \* MERGEFORMAT</w:instrText>
        </w:r>
        <w:r>
          <w:fldChar w:fldCharType="separate"/>
        </w:r>
        <w:r w:rsidR="00805C04">
          <w:rPr>
            <w:noProof/>
          </w:rPr>
          <w:t>4</w:t>
        </w:r>
        <w:r>
          <w:fldChar w:fldCharType="end"/>
        </w:r>
      </w:p>
    </w:sdtContent>
  </w:sdt>
  <w:p w14:paraId="2955D6A6" w14:textId="77777777" w:rsidR="001E1394" w:rsidRDefault="001E13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B378" w14:textId="77777777" w:rsidR="006B6026" w:rsidRDefault="006B6026" w:rsidP="001E1394">
      <w:pPr>
        <w:spacing w:after="0" w:line="240" w:lineRule="auto"/>
      </w:pPr>
      <w:r>
        <w:separator/>
      </w:r>
    </w:p>
  </w:footnote>
  <w:footnote w:type="continuationSeparator" w:id="0">
    <w:p w14:paraId="4209ED1E" w14:textId="77777777" w:rsidR="006B6026" w:rsidRDefault="006B6026" w:rsidP="001E1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B6"/>
    <w:rsid w:val="000009CF"/>
    <w:rsid w:val="00077F72"/>
    <w:rsid w:val="000B449B"/>
    <w:rsid w:val="000F176E"/>
    <w:rsid w:val="00130F5E"/>
    <w:rsid w:val="001E1394"/>
    <w:rsid w:val="001E21B1"/>
    <w:rsid w:val="00202009"/>
    <w:rsid w:val="00210EC5"/>
    <w:rsid w:val="00267238"/>
    <w:rsid w:val="002A00CB"/>
    <w:rsid w:val="00314733"/>
    <w:rsid w:val="00341099"/>
    <w:rsid w:val="00343CE5"/>
    <w:rsid w:val="00366318"/>
    <w:rsid w:val="00374B96"/>
    <w:rsid w:val="00374F15"/>
    <w:rsid w:val="00397934"/>
    <w:rsid w:val="003A63E8"/>
    <w:rsid w:val="003E5038"/>
    <w:rsid w:val="00405BED"/>
    <w:rsid w:val="004179B6"/>
    <w:rsid w:val="00480BF0"/>
    <w:rsid w:val="004A546D"/>
    <w:rsid w:val="004C6040"/>
    <w:rsid w:val="00543B82"/>
    <w:rsid w:val="00570165"/>
    <w:rsid w:val="005D16C3"/>
    <w:rsid w:val="00617079"/>
    <w:rsid w:val="00627B83"/>
    <w:rsid w:val="006517BD"/>
    <w:rsid w:val="00661EC4"/>
    <w:rsid w:val="006B5426"/>
    <w:rsid w:val="006B6026"/>
    <w:rsid w:val="006C382E"/>
    <w:rsid w:val="006C6C86"/>
    <w:rsid w:val="006E299F"/>
    <w:rsid w:val="007674B6"/>
    <w:rsid w:val="007F4287"/>
    <w:rsid w:val="00805C04"/>
    <w:rsid w:val="00847EB3"/>
    <w:rsid w:val="00871132"/>
    <w:rsid w:val="008D6686"/>
    <w:rsid w:val="008F19BF"/>
    <w:rsid w:val="00910075"/>
    <w:rsid w:val="00940C74"/>
    <w:rsid w:val="00971707"/>
    <w:rsid w:val="009C0484"/>
    <w:rsid w:val="009C612F"/>
    <w:rsid w:val="00A42879"/>
    <w:rsid w:val="00A674EF"/>
    <w:rsid w:val="00AA2E57"/>
    <w:rsid w:val="00AA3434"/>
    <w:rsid w:val="00AA668F"/>
    <w:rsid w:val="00AB03FE"/>
    <w:rsid w:val="00AC5F43"/>
    <w:rsid w:val="00AF4475"/>
    <w:rsid w:val="00B4585C"/>
    <w:rsid w:val="00B56E33"/>
    <w:rsid w:val="00B740EF"/>
    <w:rsid w:val="00B85B0B"/>
    <w:rsid w:val="00BD4049"/>
    <w:rsid w:val="00C86A75"/>
    <w:rsid w:val="00CB35DA"/>
    <w:rsid w:val="00CB749C"/>
    <w:rsid w:val="00CD22AF"/>
    <w:rsid w:val="00CE1C5D"/>
    <w:rsid w:val="00D34D81"/>
    <w:rsid w:val="00D702B8"/>
    <w:rsid w:val="00DB7F37"/>
    <w:rsid w:val="00DD4421"/>
    <w:rsid w:val="00DE7920"/>
    <w:rsid w:val="00E429C9"/>
    <w:rsid w:val="00E72A8D"/>
    <w:rsid w:val="00E90C61"/>
    <w:rsid w:val="00ED6C9D"/>
    <w:rsid w:val="00EF0450"/>
    <w:rsid w:val="00F018B8"/>
    <w:rsid w:val="00FA0961"/>
    <w:rsid w:val="00FA2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C0A3"/>
  <w15:chartTrackingRefBased/>
  <w15:docId w15:val="{9E07C06F-9E0C-4C95-AD37-063D8A2F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17079"/>
    <w:rPr>
      <w:sz w:val="16"/>
      <w:szCs w:val="16"/>
    </w:rPr>
  </w:style>
  <w:style w:type="paragraph" w:styleId="Commentaire">
    <w:name w:val="annotation text"/>
    <w:basedOn w:val="Normal"/>
    <w:link w:val="CommentaireCar"/>
    <w:uiPriority w:val="99"/>
    <w:semiHidden/>
    <w:unhideWhenUsed/>
    <w:rsid w:val="00617079"/>
    <w:pPr>
      <w:spacing w:before="100" w:after="200" w:line="240" w:lineRule="auto"/>
    </w:pPr>
    <w:rPr>
      <w:rFonts w:eastAsiaTheme="minorEastAsia"/>
      <w:sz w:val="20"/>
      <w:szCs w:val="20"/>
      <w:lang w:val="en-US"/>
    </w:rPr>
  </w:style>
  <w:style w:type="character" w:customStyle="1" w:styleId="CommentaireCar">
    <w:name w:val="Commentaire Car"/>
    <w:basedOn w:val="Policepardfaut"/>
    <w:link w:val="Commentaire"/>
    <w:uiPriority w:val="99"/>
    <w:semiHidden/>
    <w:rsid w:val="00617079"/>
    <w:rPr>
      <w:rFonts w:eastAsiaTheme="minorEastAsia"/>
      <w:sz w:val="20"/>
      <w:szCs w:val="20"/>
      <w:lang w:val="en-US"/>
    </w:rPr>
  </w:style>
  <w:style w:type="paragraph" w:styleId="Textedebulles">
    <w:name w:val="Balloon Text"/>
    <w:basedOn w:val="Normal"/>
    <w:link w:val="TextedebullesCar"/>
    <w:uiPriority w:val="99"/>
    <w:semiHidden/>
    <w:unhideWhenUsed/>
    <w:rsid w:val="006170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079"/>
    <w:rPr>
      <w:rFonts w:ascii="Segoe UI" w:hAnsi="Segoe UI" w:cs="Segoe UI"/>
      <w:sz w:val="18"/>
      <w:szCs w:val="18"/>
    </w:rPr>
  </w:style>
  <w:style w:type="paragraph" w:customStyle="1" w:styleId="Default">
    <w:name w:val="Default"/>
    <w:rsid w:val="00AA3434"/>
    <w:pPr>
      <w:autoSpaceDE w:val="0"/>
      <w:autoSpaceDN w:val="0"/>
      <w:adjustRightInd w:val="0"/>
      <w:spacing w:after="0" w:line="240" w:lineRule="auto"/>
    </w:pPr>
    <w:rPr>
      <w:rFonts w:ascii="Arial" w:hAnsi="Arial" w:cs="Arial"/>
      <w:color w:val="000000"/>
      <w:sz w:val="24"/>
      <w:szCs w:val="24"/>
      <w:lang w:val="en-GB"/>
    </w:rPr>
  </w:style>
  <w:style w:type="paragraph" w:styleId="En-tte">
    <w:name w:val="header"/>
    <w:basedOn w:val="Normal"/>
    <w:link w:val="En-tteCar"/>
    <w:uiPriority w:val="99"/>
    <w:unhideWhenUsed/>
    <w:rsid w:val="001E1394"/>
    <w:pPr>
      <w:tabs>
        <w:tab w:val="center" w:pos="4536"/>
        <w:tab w:val="right" w:pos="9072"/>
      </w:tabs>
      <w:spacing w:after="0" w:line="240" w:lineRule="auto"/>
    </w:pPr>
  </w:style>
  <w:style w:type="character" w:customStyle="1" w:styleId="En-tteCar">
    <w:name w:val="En-tête Car"/>
    <w:basedOn w:val="Policepardfaut"/>
    <w:link w:val="En-tte"/>
    <w:uiPriority w:val="99"/>
    <w:rsid w:val="001E1394"/>
  </w:style>
  <w:style w:type="paragraph" w:styleId="Pieddepage">
    <w:name w:val="footer"/>
    <w:basedOn w:val="Normal"/>
    <w:link w:val="PieddepageCar"/>
    <w:uiPriority w:val="99"/>
    <w:unhideWhenUsed/>
    <w:rsid w:val="001E1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394"/>
  </w:style>
  <w:style w:type="character" w:styleId="Textedelespacerserv">
    <w:name w:val="Placeholder Text"/>
    <w:basedOn w:val="Policepardfaut"/>
    <w:uiPriority w:val="99"/>
    <w:semiHidden/>
    <w:rsid w:val="008D6686"/>
    <w:rPr>
      <w:color w:val="808080"/>
    </w:rPr>
  </w:style>
  <w:style w:type="character" w:styleId="Lienhypertexte">
    <w:name w:val="Hyperlink"/>
    <w:basedOn w:val="Policepardfaut"/>
    <w:uiPriority w:val="99"/>
    <w:unhideWhenUsed/>
    <w:rsid w:val="006E2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049">
      <w:bodyDiv w:val="1"/>
      <w:marLeft w:val="0"/>
      <w:marRight w:val="0"/>
      <w:marTop w:val="0"/>
      <w:marBottom w:val="0"/>
      <w:divBdr>
        <w:top w:val="none" w:sz="0" w:space="0" w:color="auto"/>
        <w:left w:val="none" w:sz="0" w:space="0" w:color="auto"/>
        <w:bottom w:val="none" w:sz="0" w:space="0" w:color="auto"/>
        <w:right w:val="none" w:sz="0" w:space="0" w:color="auto"/>
      </w:divBdr>
    </w:div>
    <w:div w:id="20615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jean@lecnam.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3877</Words>
  <Characters>22102</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JEAN</dc:creator>
  <cp:keywords/>
  <dc:description/>
  <cp:lastModifiedBy>Kevin JEAN</cp:lastModifiedBy>
  <cp:revision>6</cp:revision>
  <dcterms:created xsi:type="dcterms:W3CDTF">2020-11-06T09:42:00Z</dcterms:created>
  <dcterms:modified xsi:type="dcterms:W3CDTF">2020-12-10T22:54:00Z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id="iCVmAwvo"/&gt;&lt;style id="http://www.zotero.org/styles/plos-medicine" hasBibliography="1" bibliographyStyleHasBeenSet="0"/&gt;&lt;prefs&gt;&lt;pref name="fieldType" value="Field"/&gt;&lt;/prefs&gt;&lt;/data&gt;</vt:lpwstr>
  </property>
</Properties>
</file>