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BFF3" w14:textId="77777777" w:rsidR="002E5A73" w:rsidRPr="00F5577E" w:rsidRDefault="002E5A73" w:rsidP="002E5A73">
      <w:pPr>
        <w:spacing w:line="480" w:lineRule="auto"/>
        <w:jc w:val="both"/>
        <w:rPr>
          <w:sz w:val="24"/>
          <w:szCs w:val="24"/>
        </w:rPr>
      </w:pPr>
      <w:r>
        <w:rPr>
          <w:b/>
          <w:bCs/>
          <w:sz w:val="28"/>
          <w:szCs w:val="28"/>
        </w:rPr>
        <w:t>S2 Appendix.</w:t>
      </w:r>
      <w:r w:rsidRPr="00BC32EF">
        <w:rPr>
          <w:b/>
          <w:bCs/>
          <w:sz w:val="28"/>
          <w:szCs w:val="28"/>
        </w:rPr>
        <w:t xml:space="preserve"> Parameters </w:t>
      </w:r>
      <w:r>
        <w:rPr>
          <w:b/>
          <w:bCs/>
          <w:sz w:val="28"/>
          <w:szCs w:val="28"/>
        </w:rPr>
        <w:t>and visual fitting charts</w:t>
      </w:r>
    </w:p>
    <w:p w14:paraId="270897FC" w14:textId="77777777" w:rsidR="002E5A73" w:rsidRDefault="002E5A73" w:rsidP="002E5A73">
      <w:pPr>
        <w:spacing w:line="360" w:lineRule="auto"/>
        <w:rPr>
          <w:b/>
          <w:bCs/>
          <w:sz w:val="26"/>
          <w:szCs w:val="26"/>
        </w:rPr>
      </w:pPr>
      <w:r w:rsidRPr="00BC32EF">
        <w:rPr>
          <w:b/>
          <w:bCs/>
          <w:sz w:val="26"/>
          <w:szCs w:val="26"/>
        </w:rPr>
        <w:t>Part I. Model base indicators</w:t>
      </w:r>
      <w:r>
        <w:rPr>
          <w:b/>
          <w:bCs/>
          <w:sz w:val="26"/>
          <w:szCs w:val="26"/>
        </w:rPr>
        <w:t xml:space="preserve"> </w:t>
      </w:r>
    </w:p>
    <w:p w14:paraId="0FBB55B3" w14:textId="77777777" w:rsidR="002E5A73" w:rsidRPr="00C63B54" w:rsidRDefault="002E5A73" w:rsidP="002E5A73">
      <w:pPr>
        <w:pStyle w:val="ListParagraph"/>
        <w:numPr>
          <w:ilvl w:val="0"/>
          <w:numId w:val="2"/>
        </w:numPr>
        <w:spacing w:line="360" w:lineRule="auto"/>
        <w:rPr>
          <w:b/>
          <w:bCs/>
          <w:sz w:val="24"/>
          <w:szCs w:val="24"/>
        </w:rPr>
      </w:pPr>
      <w:r>
        <w:rPr>
          <w:b/>
          <w:bCs/>
          <w:sz w:val="24"/>
          <w:szCs w:val="24"/>
        </w:rPr>
        <w:t xml:space="preserve">General </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845"/>
        <w:gridCol w:w="1265"/>
        <w:gridCol w:w="2906"/>
      </w:tblGrid>
      <w:tr w:rsidR="002E5A73" w:rsidRPr="00F86CA2" w14:paraId="6ECBE8AD" w14:textId="77777777" w:rsidTr="00A15A2B">
        <w:tc>
          <w:tcPr>
            <w:tcW w:w="2692" w:type="pct"/>
            <w:vAlign w:val="bottom"/>
          </w:tcPr>
          <w:p w14:paraId="20D35B84" w14:textId="77777777" w:rsidR="002E5A73" w:rsidRPr="00F86CA2" w:rsidRDefault="002E5A73" w:rsidP="00A15A2B">
            <w:pPr>
              <w:spacing w:after="0"/>
              <w:jc w:val="both"/>
              <w:rPr>
                <w:b/>
                <w:bCs/>
              </w:rPr>
            </w:pPr>
            <w:r w:rsidRPr="00F86CA2">
              <w:rPr>
                <w:b/>
                <w:bCs/>
              </w:rPr>
              <w:t>Description</w:t>
            </w:r>
          </w:p>
        </w:tc>
        <w:tc>
          <w:tcPr>
            <w:tcW w:w="692" w:type="pct"/>
            <w:vAlign w:val="bottom"/>
          </w:tcPr>
          <w:p w14:paraId="676AA63A" w14:textId="77777777" w:rsidR="002E5A73" w:rsidRPr="00F86CA2" w:rsidRDefault="002E5A73" w:rsidP="00A15A2B">
            <w:pPr>
              <w:spacing w:after="0"/>
              <w:jc w:val="both"/>
              <w:rPr>
                <w:b/>
                <w:bCs/>
              </w:rPr>
            </w:pPr>
            <w:r w:rsidRPr="00F86CA2">
              <w:rPr>
                <w:b/>
                <w:bCs/>
              </w:rPr>
              <w:t>Value</w:t>
            </w:r>
          </w:p>
        </w:tc>
        <w:tc>
          <w:tcPr>
            <w:tcW w:w="1616" w:type="pct"/>
          </w:tcPr>
          <w:p w14:paraId="0177DFA8" w14:textId="77777777" w:rsidR="002E5A73" w:rsidRPr="00F86CA2" w:rsidRDefault="002E5A73" w:rsidP="00A15A2B">
            <w:pPr>
              <w:spacing w:after="0"/>
              <w:jc w:val="both"/>
              <w:rPr>
                <w:b/>
                <w:bCs/>
              </w:rPr>
            </w:pPr>
            <w:r w:rsidRPr="00F86CA2">
              <w:rPr>
                <w:b/>
                <w:bCs/>
              </w:rPr>
              <w:t>Resource</w:t>
            </w:r>
          </w:p>
        </w:tc>
      </w:tr>
      <w:tr w:rsidR="002E5A73" w:rsidRPr="00164B90" w14:paraId="0C8E8359" w14:textId="77777777" w:rsidTr="00A15A2B">
        <w:tc>
          <w:tcPr>
            <w:tcW w:w="2692" w:type="pct"/>
          </w:tcPr>
          <w:p w14:paraId="1FAA1AFA" w14:textId="77777777" w:rsidR="002E5A73" w:rsidRPr="00F86CA2" w:rsidRDefault="002E5A73" w:rsidP="00A15A2B">
            <w:pPr>
              <w:spacing w:after="160"/>
              <w:jc w:val="both"/>
            </w:pPr>
            <w:r w:rsidRPr="00F86CA2">
              <w:t>Probability of infection given contact: (0 to 0.2)</w:t>
            </w:r>
          </w:p>
        </w:tc>
        <w:tc>
          <w:tcPr>
            <w:tcW w:w="692" w:type="pct"/>
          </w:tcPr>
          <w:p w14:paraId="5BD9BE03" w14:textId="77777777" w:rsidR="002E5A73" w:rsidRPr="00F86CA2" w:rsidRDefault="002E5A73" w:rsidP="00A15A2B">
            <w:pPr>
              <w:spacing w:after="160"/>
              <w:jc w:val="both"/>
            </w:pPr>
            <w:r w:rsidRPr="00F86CA2">
              <w:t>0.033</w:t>
            </w:r>
          </w:p>
        </w:tc>
        <w:tc>
          <w:tcPr>
            <w:tcW w:w="1616" w:type="pct"/>
          </w:tcPr>
          <w:p w14:paraId="4B5B6716" w14:textId="77777777" w:rsidR="002E5A73" w:rsidRPr="001372B0" w:rsidRDefault="002E5A73" w:rsidP="00A15A2B">
            <w:pPr>
              <w:spacing w:after="160"/>
              <w:jc w:val="both"/>
              <w:rPr>
                <w:color w:val="0070C0"/>
              </w:rPr>
            </w:pPr>
            <w:r>
              <w:rPr>
                <w:color w:val="0070C0"/>
              </w:rPr>
              <w:t xml:space="preserve">Visually calibrated and based on: </w:t>
            </w:r>
            <w:r>
              <w:rPr>
                <w:color w:val="0070C0"/>
              </w:rPr>
              <w:fldChar w:fldCharType="begin" w:fldLock="1"/>
            </w:r>
            <w:r>
              <w:rPr>
                <w:color w:val="0070C0"/>
              </w:rPr>
              <w:instrText>ADDIN CSL_CITATION {"citationItems":[{"id":"ITEM-1","itemData":{"URL":"https://www.the-hospitalist.org/hospitalist/article/218769/coronavirus-updates/covid-19-update-transmission-5-or-less-among-close","accessed":{"date-parts":[["2020","8","28"]]},"author":[{"dropping-particle":"","family":"Otto","given":"Alexander M.","non-dropping-particle":"","parse-names":false,"suffix":""}],"container-title":"The Hospitalist","id":"ITEM-1","issued":{"date-parts":[["2020","3","11"]]},"title":"COVID-19 update: Transmission 5% or less among close contacts","type":"webpage"},"uris":["http://www.mendeley.com/documents/?uuid=84971022-29dd-3e5d-a268-8267470ef8a6"]}],"mendeley":{"formattedCitation":"(20)","manualFormatting":"[20]","plainTextFormattedCitation":"(20)","previouslyFormattedCitation":"(19)"},"properties":{"noteIndex":0},"schema":"https://github.com/citation-style-language/schema/raw/master/csl-citation.json"}</w:instrText>
            </w:r>
            <w:r>
              <w:rPr>
                <w:color w:val="0070C0"/>
              </w:rPr>
              <w:fldChar w:fldCharType="separate"/>
            </w:r>
            <w:r>
              <w:rPr>
                <w:color w:val="0070C0"/>
              </w:rPr>
              <w:t>[</w:t>
            </w:r>
            <w:r w:rsidRPr="002518DC">
              <w:rPr>
                <w:noProof/>
                <w:color w:val="0070C0"/>
              </w:rPr>
              <w:t>20</w:t>
            </w:r>
            <w:r>
              <w:rPr>
                <w:noProof/>
                <w:color w:val="0070C0"/>
              </w:rPr>
              <w:t>]</w:t>
            </w:r>
            <w:r>
              <w:rPr>
                <w:color w:val="0070C0"/>
              </w:rPr>
              <w:fldChar w:fldCharType="end"/>
            </w:r>
          </w:p>
        </w:tc>
      </w:tr>
      <w:tr w:rsidR="002E5A73" w:rsidRPr="00164B90" w14:paraId="1106D12D" w14:textId="77777777" w:rsidTr="00A15A2B">
        <w:tc>
          <w:tcPr>
            <w:tcW w:w="2692" w:type="pct"/>
          </w:tcPr>
          <w:p w14:paraId="5251A454" w14:textId="77777777" w:rsidR="002E5A73" w:rsidRPr="00F86CA2" w:rsidRDefault="002E5A73" w:rsidP="00A15A2B">
            <w:pPr>
              <w:spacing w:after="160"/>
              <w:jc w:val="both"/>
            </w:pPr>
            <w:r w:rsidRPr="00F86CA2">
              <w:t>Percentage of all asymptomatic infections that are reported:</w:t>
            </w:r>
          </w:p>
        </w:tc>
        <w:tc>
          <w:tcPr>
            <w:tcW w:w="692" w:type="pct"/>
          </w:tcPr>
          <w:p w14:paraId="211A10CC" w14:textId="77777777" w:rsidR="002E5A73" w:rsidRPr="00F86CA2" w:rsidRDefault="002E5A73" w:rsidP="00A15A2B">
            <w:pPr>
              <w:spacing w:after="160"/>
              <w:jc w:val="both"/>
            </w:pPr>
            <w:r w:rsidRPr="00F86CA2">
              <w:t>0</w:t>
            </w:r>
          </w:p>
        </w:tc>
        <w:tc>
          <w:tcPr>
            <w:tcW w:w="1616" w:type="pct"/>
          </w:tcPr>
          <w:p w14:paraId="00031344" w14:textId="77777777" w:rsidR="002E5A73" w:rsidRPr="001372B0" w:rsidRDefault="002E5A73" w:rsidP="00A15A2B">
            <w:pPr>
              <w:spacing w:after="160"/>
              <w:jc w:val="both"/>
              <w:rPr>
                <w:color w:val="0070C0"/>
              </w:rPr>
            </w:pPr>
            <w:r>
              <w:rPr>
                <w:color w:val="0070C0"/>
              </w:rPr>
              <w:t xml:space="preserve">Assumed based on: </w:t>
            </w:r>
            <w:r>
              <w:rPr>
                <w:color w:val="0070C0"/>
              </w:rPr>
              <w:fldChar w:fldCharType="begin" w:fldLock="1"/>
            </w:r>
            <w:r>
              <w:rPr>
                <w:color w:val="0070C0"/>
              </w:rPr>
              <w:instrText>ADDIN CSL_CITATION {"citationItems":[{"id":"ITEM-1","itemData":{"URL":"https://covid.kg/","accessed":{"date-parts":[["2020","7","27"]]},"author":[{"dropping-particle":"","family":"Stop COVID KG","given":"","non-dropping-particle":"","parse-names":false,"suffix":""}],"id":"ITEM-1","issued":{"date-parts":[["2020"]]},"title":"COVID-19 Kyrgyzstan","type":"webpage"},"uris":["http://www.mendeley.com/documents/?uuid=ad82cdda-5911-3d37-b4b0-d18a65fd764f"]}],"mendeley":{"formattedCitation":"(1)","manualFormatting":"[1]","plainTextFormattedCitation":"(1)","previouslyFormattedCitation":"(1)"},"properties":{"noteIndex":0},"schema":"https://github.com/citation-style-language/schema/raw/master/csl-citation.json"}</w:instrText>
            </w:r>
            <w:r>
              <w:rPr>
                <w:color w:val="0070C0"/>
              </w:rPr>
              <w:fldChar w:fldCharType="separate"/>
            </w:r>
            <w:r>
              <w:rPr>
                <w:color w:val="0070C0"/>
              </w:rPr>
              <w:t>[</w:t>
            </w:r>
            <w:r w:rsidRPr="00046664">
              <w:rPr>
                <w:noProof/>
                <w:color w:val="0070C0"/>
              </w:rPr>
              <w:t>1</w:t>
            </w:r>
            <w:r>
              <w:rPr>
                <w:noProof/>
                <w:color w:val="0070C0"/>
              </w:rPr>
              <w:t>]</w:t>
            </w:r>
            <w:r>
              <w:rPr>
                <w:color w:val="0070C0"/>
              </w:rPr>
              <w:fldChar w:fldCharType="end"/>
            </w:r>
          </w:p>
        </w:tc>
      </w:tr>
      <w:tr w:rsidR="002E5A73" w:rsidRPr="00164B90" w14:paraId="1B60DFAB" w14:textId="77777777" w:rsidTr="00A15A2B">
        <w:tc>
          <w:tcPr>
            <w:tcW w:w="2692" w:type="pct"/>
          </w:tcPr>
          <w:p w14:paraId="4D936B0A" w14:textId="77777777" w:rsidR="002E5A73" w:rsidRPr="00F86CA2" w:rsidRDefault="002E5A73" w:rsidP="00A15A2B">
            <w:pPr>
              <w:spacing w:after="160"/>
              <w:jc w:val="both"/>
            </w:pPr>
            <w:r w:rsidRPr="00F86CA2">
              <w:t>Percentage of all symptomatic infections that are reported:</w:t>
            </w:r>
          </w:p>
        </w:tc>
        <w:tc>
          <w:tcPr>
            <w:tcW w:w="692" w:type="pct"/>
          </w:tcPr>
          <w:p w14:paraId="2B7E2F12" w14:textId="77777777" w:rsidR="002E5A73" w:rsidRPr="00F86CA2" w:rsidRDefault="002E5A73" w:rsidP="00A15A2B">
            <w:pPr>
              <w:spacing w:after="160"/>
              <w:jc w:val="both"/>
            </w:pPr>
            <w:r w:rsidRPr="00F86CA2">
              <w:t>12</w:t>
            </w:r>
          </w:p>
        </w:tc>
        <w:tc>
          <w:tcPr>
            <w:tcW w:w="1616" w:type="pct"/>
          </w:tcPr>
          <w:p w14:paraId="22E08BD3" w14:textId="77777777" w:rsidR="002E5A73" w:rsidRPr="001372B0" w:rsidRDefault="002E5A73" w:rsidP="00A15A2B">
            <w:pPr>
              <w:spacing w:after="160"/>
              <w:jc w:val="both"/>
              <w:rPr>
                <w:color w:val="0070C0"/>
              </w:rPr>
            </w:pPr>
            <w:r>
              <w:rPr>
                <w:color w:val="0070C0"/>
              </w:rPr>
              <w:t xml:space="preserve">Visually calibrated and based on: </w:t>
            </w:r>
            <w:r>
              <w:rPr>
                <w:color w:val="0070C0"/>
              </w:rPr>
              <w:fldChar w:fldCharType="begin" w:fldLock="1"/>
            </w:r>
            <w:r>
              <w:rPr>
                <w:color w:val="0070C0"/>
              </w:rPr>
              <w:instrText>ADDIN CSL_CITATION {"citationItems":[{"id":"ITEM-1","itemData":{"URL":"https://covid.kg/","accessed":{"date-parts":[["2020","7","27"]]},"author":[{"dropping-particle":"","family":"Stop COVID KG","given":"","non-dropping-particle":"","parse-names":false,"suffix":""}],"id":"ITEM-1","issued":{"date-parts":[["2020"]]},"title":"COVID-19 Kyrgyzstan","type":"webpage"},"uris":["http://www.mendeley.com/documents/?uuid=ad82cdda-5911-3d37-b4b0-d18a65fd764f"]},{"id":"ITEM-2","itemData":{"URL":"http://med.kg/ru/dokumenty/prikazy.html","accessed":{"date-parts":[["2020","8","3"]]},"author":[{"dropping-particle":"","family":"MoH KR","given":"","non-dropping-particle":"","parse-names":false,"suffix":""}],"id":"ITEM-2","issued":{"date-parts":[["2020"]]},"title":"MoH Prikaz #181 on health system preparedness for the COVID-19 epidemic. March 23, 2020","type":"webpage"},"uris":["http://www.mendeley.com/documents/?uuid=90fec0a3-c3fc-33f3-8429-e27f9e9288e8"]},{"id":"ITEM-3","itemData":{"URL":"https://www.gov.kg/ru/p/covid-19","accessed":{"date-parts":[["2020","8","28"]]},"author":[{"dropping-particle":"","family":"DRCU","given":"","non-dropping-particle":"","parse-names":false,"suffix":""}],"id":"ITEM-3","issued":{"date-parts":[["2020"]]},"title":"Disaster Response Coordination Unit in the Kyrgyz Republic. Press Centre / Нацинальный штаб по противодействию эпидемии COVID-19 в Кыргызской Республике. Пресс центр","type":"webpage"},"uris":["http://www.mendeley.com/documents/?uuid=d96d1d68-a837-32ac-b231-d648c3ded689"]}],"mendeley":{"formattedCitation":"(1,13,21)","manualFormatting":"[1,13,21]","plainTextFormattedCitation":"(1,13,21)","previouslyFormattedCitation":"(1,12,20)"},"properties":{"noteIndex":0},"schema":"https://github.com/citation-style-language/schema/raw/master/csl-citation.json"}</w:instrText>
            </w:r>
            <w:r>
              <w:rPr>
                <w:color w:val="0070C0"/>
              </w:rPr>
              <w:fldChar w:fldCharType="separate"/>
            </w:r>
            <w:r>
              <w:rPr>
                <w:color w:val="0070C0"/>
              </w:rPr>
              <w:t>[</w:t>
            </w:r>
            <w:r w:rsidRPr="002518DC">
              <w:rPr>
                <w:noProof/>
                <w:color w:val="0070C0"/>
              </w:rPr>
              <w:t>1,13,21</w:t>
            </w:r>
            <w:r>
              <w:rPr>
                <w:noProof/>
                <w:color w:val="0070C0"/>
              </w:rPr>
              <w:t>]</w:t>
            </w:r>
            <w:r>
              <w:rPr>
                <w:color w:val="0070C0"/>
              </w:rPr>
              <w:fldChar w:fldCharType="end"/>
            </w:r>
          </w:p>
        </w:tc>
      </w:tr>
      <w:tr w:rsidR="002E5A73" w:rsidRPr="00164B90" w14:paraId="41096718" w14:textId="77777777" w:rsidTr="00A15A2B">
        <w:tc>
          <w:tcPr>
            <w:tcW w:w="2692" w:type="pct"/>
          </w:tcPr>
          <w:p w14:paraId="6E715792" w14:textId="77777777" w:rsidR="002E5A73" w:rsidRPr="00F86CA2" w:rsidRDefault="002E5A73" w:rsidP="00A15A2B">
            <w:pPr>
              <w:spacing w:after="160"/>
              <w:jc w:val="both"/>
            </w:pPr>
            <w:r w:rsidRPr="00F86CA2">
              <w:t xml:space="preserve">Percentage of all </w:t>
            </w:r>
            <w:proofErr w:type="spellStart"/>
            <w:r w:rsidRPr="00F86CA2">
              <w:t>hospitali</w:t>
            </w:r>
            <w:r>
              <w:t>s</w:t>
            </w:r>
            <w:r w:rsidRPr="00F86CA2">
              <w:t>ations</w:t>
            </w:r>
            <w:proofErr w:type="spellEnd"/>
            <w:r w:rsidRPr="00F86CA2">
              <w:t xml:space="preserve"> that are reported:</w:t>
            </w:r>
          </w:p>
        </w:tc>
        <w:tc>
          <w:tcPr>
            <w:tcW w:w="692" w:type="pct"/>
          </w:tcPr>
          <w:p w14:paraId="0D395B93" w14:textId="77777777" w:rsidR="002E5A73" w:rsidRPr="00F86CA2" w:rsidRDefault="002E5A73" w:rsidP="00A15A2B">
            <w:pPr>
              <w:spacing w:after="160"/>
              <w:jc w:val="both"/>
            </w:pPr>
            <w:r w:rsidRPr="00F86CA2">
              <w:t>90</w:t>
            </w:r>
          </w:p>
        </w:tc>
        <w:tc>
          <w:tcPr>
            <w:tcW w:w="1616" w:type="pct"/>
          </w:tcPr>
          <w:p w14:paraId="6C7AE0A7" w14:textId="77777777" w:rsidR="002E5A73" w:rsidRPr="001372B0" w:rsidRDefault="002E5A73" w:rsidP="00A15A2B">
            <w:pPr>
              <w:spacing w:after="160"/>
              <w:jc w:val="both"/>
              <w:rPr>
                <w:color w:val="0070C0"/>
              </w:rPr>
            </w:pPr>
            <w:r>
              <w:rPr>
                <w:color w:val="0070C0"/>
              </w:rPr>
              <w:t xml:space="preserve">Assumed based on: </w:t>
            </w:r>
            <w:r>
              <w:rPr>
                <w:color w:val="0070C0"/>
              </w:rPr>
              <w:fldChar w:fldCharType="begin" w:fldLock="1"/>
            </w:r>
            <w:r>
              <w:rPr>
                <w:color w:val="0070C0"/>
              </w:rPr>
              <w:instrText>ADDIN CSL_CITATION {"citationItems":[{"id":"ITEM-1","itemData":{"URL":"https://covid.kg/","accessed":{"date-parts":[["2020","7","27"]]},"author":[{"dropping-particle":"","family":"Stop COVID KG","given":"","non-dropping-particle":"","parse-names":false,"suffix":""}],"id":"ITEM-1","issued":{"date-parts":[["2020"]]},"title":"COVID-19 Kyrgyzstan","type":"webpage"},"uris":["http://www.mendeley.com/documents/?uuid=ad82cdda-5911-3d37-b4b0-d18a65fd764f"]},{"id":"ITEM-2","itemData":{"URL":"https://www.gov.kg/ru/p/covid-19","accessed":{"date-parts":[["2020","8","28"]]},"author":[{"dropping-particle":"","family":"DRCU","given":"","non-dropping-particle":"","parse-names":false,"suffix":""}],"id":"ITEM-2","issued":{"date-parts":[["2020"]]},"title":"Disaster Response Coordination Unit in the Kyrgyz Republic. Press Centre / Нацинальный штаб по противодействию эпидемии COVID-19 в Кыргызской Республике. Пресс центр","type":"webpage"},"uris":["http://www.mendeley.com/documents/?uuid=d96d1d68-a837-32ac-b231-d648c3ded689"]}],"mendeley":{"formattedCitation":"(1,21)","manualFormatting":"[1,21]","plainTextFormattedCitation":"(1,21)","previouslyFormattedCitation":"(1,20)"},"properties":{"noteIndex":0},"schema":"https://github.com/citation-style-language/schema/raw/master/csl-citation.json"}</w:instrText>
            </w:r>
            <w:r>
              <w:rPr>
                <w:color w:val="0070C0"/>
              </w:rPr>
              <w:fldChar w:fldCharType="separate"/>
            </w:r>
            <w:r>
              <w:rPr>
                <w:color w:val="0070C0"/>
              </w:rPr>
              <w:t>[</w:t>
            </w:r>
            <w:r w:rsidRPr="002518DC">
              <w:rPr>
                <w:noProof/>
                <w:color w:val="0070C0"/>
              </w:rPr>
              <w:t>1,21</w:t>
            </w:r>
            <w:r>
              <w:rPr>
                <w:noProof/>
                <w:color w:val="0070C0"/>
              </w:rPr>
              <w:t>]</w:t>
            </w:r>
            <w:r>
              <w:rPr>
                <w:color w:val="0070C0"/>
              </w:rPr>
              <w:fldChar w:fldCharType="end"/>
            </w:r>
          </w:p>
        </w:tc>
      </w:tr>
      <w:tr w:rsidR="002E5A73" w:rsidRPr="00164B90" w14:paraId="4F402A45" w14:textId="77777777" w:rsidTr="00A15A2B">
        <w:tc>
          <w:tcPr>
            <w:tcW w:w="2692" w:type="pct"/>
          </w:tcPr>
          <w:p w14:paraId="20C4EA73" w14:textId="77777777" w:rsidR="002E5A73" w:rsidRPr="00F86CA2" w:rsidRDefault="002E5A73" w:rsidP="00A15A2B">
            <w:pPr>
              <w:spacing w:after="160"/>
              <w:jc w:val="both"/>
            </w:pPr>
            <w:r w:rsidRPr="00F86CA2">
              <w:t xml:space="preserve">Social </w:t>
            </w:r>
            <w:r>
              <w:t>c</w:t>
            </w:r>
            <w:r w:rsidRPr="00F86CA2">
              <w:t xml:space="preserve">ontacts </w:t>
            </w:r>
            <w:r>
              <w:t>d</w:t>
            </w:r>
            <w:r w:rsidRPr="00F86CA2">
              <w:t>ata</w:t>
            </w:r>
            <w:r>
              <w:t xml:space="preserve"> (country)</w:t>
            </w:r>
            <w:r w:rsidRPr="00F86CA2">
              <w:t>:</w:t>
            </w:r>
          </w:p>
        </w:tc>
        <w:tc>
          <w:tcPr>
            <w:tcW w:w="692" w:type="pct"/>
          </w:tcPr>
          <w:p w14:paraId="3D62F261" w14:textId="77777777" w:rsidR="002E5A73" w:rsidRPr="00F86CA2" w:rsidRDefault="002E5A73" w:rsidP="00A15A2B">
            <w:pPr>
              <w:spacing w:after="160"/>
              <w:jc w:val="both"/>
            </w:pPr>
            <w:r w:rsidRPr="00F86CA2">
              <w:t>Kyrgyzstan</w:t>
            </w:r>
          </w:p>
        </w:tc>
        <w:tc>
          <w:tcPr>
            <w:tcW w:w="1616" w:type="pct"/>
          </w:tcPr>
          <w:p w14:paraId="17F93A59" w14:textId="77777777" w:rsidR="002E5A73" w:rsidRPr="001372B0" w:rsidRDefault="002E5A73" w:rsidP="00A15A2B">
            <w:pPr>
              <w:spacing w:after="160"/>
              <w:jc w:val="both"/>
              <w:rPr>
                <w:color w:val="0070C0"/>
              </w:rPr>
            </w:pPr>
            <w:r w:rsidRPr="001372B0">
              <w:rPr>
                <w:color w:val="0070C0"/>
              </w:rPr>
              <w:fldChar w:fldCharType="begin" w:fldLock="1"/>
            </w:r>
            <w:r>
              <w:rPr>
                <w:color w:val="0070C0"/>
              </w:rPr>
              <w:instrText>ADDIN CSL_CITATION {"citationItems":[{"id":"ITEM-1","itemData":{"DOI":"10.1371/journal.pcbi.1005697","ISSN":"15537358","PMID":"28898249","abstract":"Heterogeneities in contact networks have a major effect in determining whether a pathogen can become epidemic or persist at endemic levels. Epidemic models that determine which interventions can successfully prevent an outbreak need to account for social structure and mixing patterns. Contact patterns vary across age and locations (e.g. home, work, and school), and including them as predictors in transmission dynamic models of pathogens that spread socially will improve the models’ realism. Data from population-based contact diaries in eight European countries from the POLYMOD study were projected to 144 other countries using a Bayesian hierarchical model that estimated the proclivity of age-and-location-specific contact patterns for the countries, using Markov chain Monte Carlo simulation. Household level data from the Demographic and Health Surveys for nine lower-income countries and socio-demographic factors from several on-line databases for 152 countries were used to quantify similarity of countries to estimate contact patterns in the home, work, school and other locations for countries for which no contact data are available, accounting for demographic structure, household structure where known, and a variety of metrics including workforce participation and school enrolment. Contacts are highly assortative with age across all countries considered, but pronounced regional differences in the age-specific contacts at home were noticeable, with more inter-generational contacts in Asian countries than in other settings. Moreover, there were variations in contact patterns by location, with work-place contacts being least assortative. These variations led to differences in the effect of social distancing measures in an age structured epidemic model. Contacts have an important role in transmission dynamic models that use contact rates to characterize the spread of contact-transmissible diseases. This study provides estimates of mixing patterns for societies for which contact data such as POLYMOD are not yet available.","author":[{"dropping-particle":"","family":"Prem","given":"Kiesha","non-dropping-particle":"","parse-names":false,"suffix":""},{"dropping-particle":"","family":"Cook","given":"Alex R.","non-dropping-particle":"","parse-names":false,"suffix":""},{"dropping-particle":"","family":"Jit","given":"Mark","non-dropping-particle":"","parse-names":false,"suffix":""}],"container-title":"PLoS Computational Biology","id":"ITEM-1","issue":"9","issued":{"date-parts":[["2017","9","1"]]},"page":"e1005697","publisher":"Public Library of Science","title":"Projecting social contact matrices in 152 countries using contact surveys and demographic data","type":"article-journal","volume":"13"},"uris":["http://www.mendeley.com/documents/?uuid=70e4e3bb-1f59-381e-a32a-f98f42c71b1c"]}],"mendeley":{"formattedCitation":"(22)","manualFormatting":"[22]","plainTextFormattedCitation":"(22)","previouslyFormattedCitation":"(21)"},"properties":{"noteIndex":0},"schema":"https://github.com/citation-style-language/schema/raw/master/csl-citation.json"}</w:instrText>
            </w:r>
            <w:r w:rsidRPr="001372B0">
              <w:rPr>
                <w:color w:val="0070C0"/>
              </w:rPr>
              <w:fldChar w:fldCharType="separate"/>
            </w:r>
            <w:r>
              <w:rPr>
                <w:color w:val="0070C0"/>
              </w:rPr>
              <w:t>[</w:t>
            </w:r>
            <w:r w:rsidRPr="002518DC">
              <w:rPr>
                <w:noProof/>
                <w:color w:val="0070C0"/>
              </w:rPr>
              <w:t>22</w:t>
            </w:r>
            <w:r>
              <w:rPr>
                <w:noProof/>
                <w:color w:val="0070C0"/>
              </w:rPr>
              <w:t>]</w:t>
            </w:r>
            <w:r w:rsidRPr="001372B0">
              <w:rPr>
                <w:color w:val="0070C0"/>
              </w:rPr>
              <w:fldChar w:fldCharType="end"/>
            </w:r>
          </w:p>
        </w:tc>
      </w:tr>
      <w:tr w:rsidR="002E5A73" w:rsidRPr="00164B90" w14:paraId="678369A6" w14:textId="77777777" w:rsidTr="00A15A2B">
        <w:tc>
          <w:tcPr>
            <w:tcW w:w="2692" w:type="pct"/>
          </w:tcPr>
          <w:p w14:paraId="6BA26CE9" w14:textId="77777777" w:rsidR="002E5A73" w:rsidRPr="00F86CA2" w:rsidRDefault="002E5A73" w:rsidP="00A15A2B">
            <w:pPr>
              <w:spacing w:after="160"/>
              <w:jc w:val="both"/>
            </w:pPr>
            <w:r w:rsidRPr="00F86CA2">
              <w:t xml:space="preserve">Mean </w:t>
            </w:r>
            <w:r>
              <w:t>h</w:t>
            </w:r>
            <w:r w:rsidRPr="00F86CA2">
              <w:t>ousehold size:</w:t>
            </w:r>
          </w:p>
        </w:tc>
        <w:tc>
          <w:tcPr>
            <w:tcW w:w="692" w:type="pct"/>
          </w:tcPr>
          <w:p w14:paraId="51390A4C" w14:textId="77777777" w:rsidR="002E5A73" w:rsidRPr="00F86CA2" w:rsidRDefault="002E5A73" w:rsidP="00A15A2B">
            <w:pPr>
              <w:spacing w:after="160"/>
              <w:jc w:val="both"/>
            </w:pPr>
            <w:r w:rsidRPr="00F86CA2">
              <w:t>4.2</w:t>
            </w:r>
          </w:p>
        </w:tc>
        <w:tc>
          <w:tcPr>
            <w:tcW w:w="1616" w:type="pct"/>
          </w:tcPr>
          <w:p w14:paraId="144CF5EE" w14:textId="77777777" w:rsidR="002E5A73" w:rsidRPr="001372B0" w:rsidRDefault="002E5A73" w:rsidP="00A15A2B">
            <w:pPr>
              <w:spacing w:after="160"/>
              <w:jc w:val="both"/>
              <w:rPr>
                <w:color w:val="0070C0"/>
              </w:rPr>
            </w:pPr>
            <w:r w:rsidRPr="001372B0">
              <w:rPr>
                <w:color w:val="0070C0"/>
              </w:rPr>
              <w:fldChar w:fldCharType="begin" w:fldLock="1"/>
            </w:r>
            <w:r>
              <w:rPr>
                <w:color w:val="0070C0"/>
              </w:rPr>
              <w:instrText>ADDIN CSL_CITATION {"citationItems":[{"id":"ITEM-1","itemData":{"URL":"http://www.stat.kg/en/","accessed":{"date-parts":[["2020","8","3"]]},"author":[{"dropping-particle":"","family":"NSTKG","given":"","non-dropping-particle":"","parse-names":false,"suffix":""}],"id":"ITEM-1","issued":{"date-parts":[["2020"]]},"title":"National Statistical Committee of the Kyrgyz Republic","type":"webpage"},"uris":["http://www.mendeley.com/documents/?uuid=ef415f53-7466-384e-a1df-9e9bec3924b6"]}],"mendeley":{"formattedCitation":"(23)","manualFormatting":"[23]","plainTextFormattedCitation":"(23)","previouslyFormattedCitation":"(22)"},"properties":{"noteIndex":0},"schema":"https://github.com/citation-style-language/schema/raw/master/csl-citation.json"}</w:instrText>
            </w:r>
            <w:r w:rsidRPr="001372B0">
              <w:rPr>
                <w:color w:val="0070C0"/>
              </w:rPr>
              <w:fldChar w:fldCharType="separate"/>
            </w:r>
            <w:r>
              <w:rPr>
                <w:color w:val="0070C0"/>
              </w:rPr>
              <w:t>[</w:t>
            </w:r>
            <w:r w:rsidRPr="002518DC">
              <w:rPr>
                <w:noProof/>
                <w:color w:val="0070C0"/>
              </w:rPr>
              <w:t>23</w:t>
            </w:r>
            <w:r>
              <w:rPr>
                <w:noProof/>
                <w:color w:val="0070C0"/>
              </w:rPr>
              <w:t>]</w:t>
            </w:r>
            <w:r w:rsidRPr="001372B0">
              <w:rPr>
                <w:color w:val="0070C0"/>
              </w:rPr>
              <w:fldChar w:fldCharType="end"/>
            </w:r>
          </w:p>
        </w:tc>
      </w:tr>
      <w:tr w:rsidR="002E5A73" w:rsidRPr="00164B90" w14:paraId="079FAE68" w14:textId="77777777" w:rsidTr="00A15A2B">
        <w:tc>
          <w:tcPr>
            <w:tcW w:w="2692" w:type="pct"/>
          </w:tcPr>
          <w:p w14:paraId="3778FC5E" w14:textId="77777777" w:rsidR="002E5A73" w:rsidRPr="00F86CA2" w:rsidRDefault="002E5A73" w:rsidP="00A15A2B">
            <w:pPr>
              <w:spacing w:after="160"/>
              <w:jc w:val="both"/>
            </w:pPr>
            <w:r w:rsidRPr="00F86CA2">
              <w:t>Mean number of infectious migrants per day:</w:t>
            </w:r>
          </w:p>
        </w:tc>
        <w:tc>
          <w:tcPr>
            <w:tcW w:w="692" w:type="pct"/>
          </w:tcPr>
          <w:p w14:paraId="37766DAD" w14:textId="77777777" w:rsidR="002E5A73" w:rsidRPr="00F86CA2" w:rsidRDefault="002E5A73" w:rsidP="00A15A2B">
            <w:pPr>
              <w:spacing w:after="160"/>
              <w:jc w:val="both"/>
            </w:pPr>
            <w:r w:rsidRPr="00F86CA2">
              <w:t>10^{-5}</w:t>
            </w:r>
          </w:p>
        </w:tc>
        <w:tc>
          <w:tcPr>
            <w:tcW w:w="1616" w:type="pct"/>
          </w:tcPr>
          <w:p w14:paraId="555A6348" w14:textId="77777777" w:rsidR="002E5A73" w:rsidRPr="00BC38EE" w:rsidRDefault="002E5A73" w:rsidP="00A15A2B">
            <w:pPr>
              <w:spacing w:after="160"/>
              <w:jc w:val="both"/>
              <w:rPr>
                <w:color w:val="0070C0"/>
                <w:lang w:val="ru-RU"/>
              </w:rPr>
            </w:pPr>
            <w:r>
              <w:rPr>
                <w:color w:val="0070C0"/>
              </w:rPr>
              <w:t>Assumed based on:</w:t>
            </w:r>
            <w:r w:rsidRPr="000200D4">
              <w:rPr>
                <w:color w:val="0070C0"/>
                <w:lang w:val="en-GB"/>
              </w:rPr>
              <w:t xml:space="preserve"> </w:t>
            </w:r>
            <w:r>
              <w:rPr>
                <w:color w:val="0070C0"/>
                <w:lang w:val="ru-RU"/>
              </w:rPr>
              <w:fldChar w:fldCharType="begin" w:fldLock="1"/>
            </w:r>
            <w:r>
              <w:rPr>
                <w:color w:val="0070C0"/>
                <w:lang w:val="en-GB"/>
              </w:rPr>
              <w:instrText>ADDIN CSL_CITATION {"citationItems":[{"id":"ITEM-1","itemData":{"URL":"https://www.gov.kg/ru/p/covid-19","accessed":{"date-parts":[["2020","8","28"]]},"author":[{"dropping-particle":"","family":"DRCU","given":"","non-dropping-particle":"","parse-names":false,"suffix":""}],"id":"ITEM-1","issued":{"date-parts":[["2020"]]},"title":"Disaster Response Coordination Unit in the Kyrgyz Republic. Press Centre / Нацинальный штаб по противодействию эпидемии COVID-19 в Кыргызской Республике. Пресс центр","type":"webpage"},"uris":["http://www.mendeley.com/documents/?uuid=d96d1d68-a837-32ac-b231-d648c3ded689"]}],"mendeley":{"formattedCitation":"(21)","manualFormatting":"[21]","plainTextFormattedCitation":"(21)","previouslyFormattedCitation":"(20)"},"properties":{"noteIndex":0},"schema":"https://github.com/citation-style-language/schema/raw/master/csl-citation.json"}</w:instrText>
            </w:r>
            <w:r>
              <w:rPr>
                <w:color w:val="0070C0"/>
                <w:lang w:val="ru-RU"/>
              </w:rPr>
              <w:fldChar w:fldCharType="separate"/>
            </w:r>
            <w:r>
              <w:rPr>
                <w:color w:val="0070C0"/>
                <w:lang w:val="en-GB"/>
              </w:rPr>
              <w:t>[</w:t>
            </w:r>
            <w:r w:rsidRPr="002518DC">
              <w:rPr>
                <w:noProof/>
                <w:color w:val="0070C0"/>
                <w:lang w:val="ru-RU"/>
              </w:rPr>
              <w:t>21</w:t>
            </w:r>
            <w:r>
              <w:rPr>
                <w:noProof/>
                <w:color w:val="0070C0"/>
                <w:lang w:val="en-GB"/>
              </w:rPr>
              <w:t>]</w:t>
            </w:r>
            <w:r>
              <w:rPr>
                <w:color w:val="0070C0"/>
                <w:lang w:val="ru-RU"/>
              </w:rPr>
              <w:fldChar w:fldCharType="end"/>
            </w:r>
          </w:p>
        </w:tc>
      </w:tr>
    </w:tbl>
    <w:p w14:paraId="13F278D1" w14:textId="77777777" w:rsidR="002E5A73" w:rsidRDefault="002E5A73" w:rsidP="002E5A73">
      <w:pPr>
        <w:spacing w:line="360" w:lineRule="auto"/>
        <w:rPr>
          <w:b/>
          <w:bCs/>
          <w:sz w:val="24"/>
          <w:szCs w:val="24"/>
        </w:rPr>
      </w:pPr>
    </w:p>
    <w:p w14:paraId="5811A3C5" w14:textId="77777777" w:rsidR="002E5A73" w:rsidRDefault="002E5A73" w:rsidP="002E5A73">
      <w:pPr>
        <w:rPr>
          <w:b/>
          <w:bCs/>
          <w:sz w:val="24"/>
          <w:szCs w:val="24"/>
        </w:rPr>
      </w:pPr>
      <w:r>
        <w:rPr>
          <w:b/>
          <w:bCs/>
          <w:sz w:val="24"/>
          <w:szCs w:val="24"/>
        </w:rPr>
        <w:br w:type="page"/>
      </w:r>
    </w:p>
    <w:p w14:paraId="37C49F19" w14:textId="77777777" w:rsidR="002E5A73" w:rsidRDefault="002E5A73" w:rsidP="002E5A73">
      <w:pPr>
        <w:spacing w:after="0" w:line="360" w:lineRule="auto"/>
      </w:pPr>
      <w:r w:rsidRPr="00841C0D">
        <w:rPr>
          <w:b/>
          <w:bCs/>
        </w:rPr>
        <w:lastRenderedPageBreak/>
        <w:t>Figure S</w:t>
      </w:r>
      <w:r>
        <w:rPr>
          <w:b/>
          <w:bCs/>
        </w:rPr>
        <w:t>2.</w:t>
      </w:r>
      <w:r w:rsidRPr="00357149">
        <w:t xml:space="preserve"> Visual fitting of the projected epidemic curve against </w:t>
      </w:r>
      <w:r>
        <w:t xml:space="preserve">actual reported </w:t>
      </w:r>
      <w:r w:rsidRPr="00357149">
        <w:t>cumulative death</w:t>
      </w:r>
      <w:r>
        <w:t>s (A) and daily new cases of COVID-19</w:t>
      </w:r>
      <w:r w:rsidRPr="00357149">
        <w:t xml:space="preserve"> </w:t>
      </w:r>
      <w:r>
        <w:t xml:space="preserve">(B) </w:t>
      </w:r>
      <w:r w:rsidRPr="00357149">
        <w:t xml:space="preserve">as of April </w:t>
      </w:r>
      <w:r>
        <w:t>24</w:t>
      </w:r>
      <w:r w:rsidRPr="00357149">
        <w:t>, 2020</w:t>
      </w:r>
      <w:r>
        <w:t xml:space="preserve">. </w:t>
      </w:r>
    </w:p>
    <w:p w14:paraId="0D185674" w14:textId="77777777" w:rsidR="002E5A73" w:rsidRPr="001A7EFE" w:rsidRDefault="002E5A73" w:rsidP="002E5A73">
      <w:pPr>
        <w:pStyle w:val="ListParagraph"/>
        <w:numPr>
          <w:ilvl w:val="0"/>
          <w:numId w:val="1"/>
        </w:numPr>
        <w:spacing w:after="0" w:line="240" w:lineRule="auto"/>
        <w:rPr>
          <w:b/>
          <w:bCs/>
        </w:rPr>
      </w:pPr>
      <w:r>
        <w:rPr>
          <w:b/>
          <w:bCs/>
        </w:rPr>
        <w:t xml:space="preserve">                                        </w:t>
      </w:r>
      <w:r>
        <w:rPr>
          <w:b/>
          <w:bCs/>
        </w:rPr>
        <w:tab/>
      </w:r>
      <w:r>
        <w:rPr>
          <w:b/>
          <w:bCs/>
        </w:rPr>
        <w:tab/>
      </w:r>
      <w:r>
        <w:rPr>
          <w:b/>
          <w:bCs/>
        </w:rPr>
        <w:tab/>
      </w:r>
      <w:r>
        <w:rPr>
          <w:b/>
          <w:bCs/>
        </w:rPr>
        <w:tab/>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558"/>
      </w:tblGrid>
      <w:tr w:rsidR="002E5A73" w14:paraId="02388869" w14:textId="77777777" w:rsidTr="00A15A2B">
        <w:tc>
          <w:tcPr>
            <w:tcW w:w="4596" w:type="dxa"/>
          </w:tcPr>
          <w:p w14:paraId="79B967D8" w14:textId="77777777" w:rsidR="002E5A73" w:rsidRDefault="002E5A73" w:rsidP="00A15A2B">
            <w:pPr>
              <w:rPr>
                <w:noProof/>
              </w:rPr>
            </w:pPr>
            <w:r>
              <w:rPr>
                <w:noProof/>
              </w:rPr>
              <w:drawing>
                <wp:inline distT="0" distB="0" distL="0" distR="0" wp14:anchorId="4742F79F" wp14:editId="6F226A3F">
                  <wp:extent cx="2716530" cy="2667000"/>
                  <wp:effectExtent l="0" t="0" r="7620" b="0"/>
                  <wp:docPr id="2" name="Chart 2">
                    <a:extLst xmlns:a="http://schemas.openxmlformats.org/drawingml/2006/main">
                      <a:ext uri="{FF2B5EF4-FFF2-40B4-BE49-F238E27FC236}">
                        <a16:creationId xmlns:a16="http://schemas.microsoft.com/office/drawing/2014/main" id="{9B64598E-70D0-45F4-A50B-F66B2F3B2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4596" w:type="dxa"/>
          </w:tcPr>
          <w:p w14:paraId="58D1C327" w14:textId="77777777" w:rsidR="002E5A73" w:rsidRDefault="002E5A73" w:rsidP="00A15A2B">
            <w:pPr>
              <w:rPr>
                <w:noProof/>
              </w:rPr>
            </w:pPr>
            <w:r>
              <w:rPr>
                <w:noProof/>
              </w:rPr>
              <w:drawing>
                <wp:inline distT="0" distB="0" distL="0" distR="0" wp14:anchorId="1652EAC6" wp14:editId="06057963">
                  <wp:extent cx="2772000" cy="2700000"/>
                  <wp:effectExtent l="0" t="0" r="9525" b="5715"/>
                  <wp:docPr id="29" name="Chart 29">
                    <a:extLst xmlns:a="http://schemas.openxmlformats.org/drawingml/2006/main">
                      <a:ext uri="{FF2B5EF4-FFF2-40B4-BE49-F238E27FC236}">
                        <a16:creationId xmlns:a16="http://schemas.microsoft.com/office/drawing/2014/main" id="{72F0F628-34A7-43EC-9428-9B948C2C59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4DD5E46F" w14:textId="77777777" w:rsidR="002E5A73" w:rsidRDefault="002E5A73" w:rsidP="002E5A73">
      <w:pPr>
        <w:spacing w:line="360" w:lineRule="auto"/>
        <w:rPr>
          <w:b/>
          <w:bCs/>
          <w:sz w:val="24"/>
          <w:szCs w:val="24"/>
        </w:rPr>
      </w:pPr>
    </w:p>
    <w:p w14:paraId="21A94A53" w14:textId="77777777" w:rsidR="002E5A73" w:rsidRPr="00350522" w:rsidRDefault="002E5A73" w:rsidP="002E5A73">
      <w:pPr>
        <w:pStyle w:val="ListParagraph"/>
        <w:numPr>
          <w:ilvl w:val="0"/>
          <w:numId w:val="2"/>
        </w:numPr>
        <w:spacing w:line="360" w:lineRule="auto"/>
        <w:rPr>
          <w:b/>
          <w:bCs/>
          <w:sz w:val="24"/>
          <w:szCs w:val="24"/>
        </w:rPr>
      </w:pPr>
      <w:r w:rsidRPr="00350522">
        <w:rPr>
          <w:b/>
          <w:bCs/>
          <w:sz w:val="24"/>
          <w:szCs w:val="24"/>
        </w:rPr>
        <w:t>Disease parameters</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854"/>
        <w:gridCol w:w="1248"/>
        <w:gridCol w:w="2914"/>
      </w:tblGrid>
      <w:tr w:rsidR="002E5A73" w:rsidRPr="00F86CA2" w14:paraId="3497F632" w14:textId="77777777" w:rsidTr="00A15A2B">
        <w:tc>
          <w:tcPr>
            <w:tcW w:w="2692" w:type="pct"/>
          </w:tcPr>
          <w:p w14:paraId="76950E04" w14:textId="77777777" w:rsidR="002E5A73" w:rsidRPr="00F86CA2" w:rsidRDefault="002E5A73" w:rsidP="00A15A2B">
            <w:pPr>
              <w:spacing w:before="36" w:after="36"/>
              <w:rPr>
                <w:b/>
                <w:bCs/>
              </w:rPr>
            </w:pPr>
            <w:bookmarkStart w:id="0" w:name="_Hlk48649645"/>
            <w:r w:rsidRPr="00F86CA2">
              <w:rPr>
                <w:b/>
                <w:bCs/>
              </w:rPr>
              <w:t>Description</w:t>
            </w:r>
          </w:p>
        </w:tc>
        <w:tc>
          <w:tcPr>
            <w:tcW w:w="692" w:type="pct"/>
          </w:tcPr>
          <w:p w14:paraId="4F47B4AD" w14:textId="77777777" w:rsidR="002E5A73" w:rsidRPr="00F86CA2" w:rsidRDefault="002E5A73" w:rsidP="00A15A2B">
            <w:pPr>
              <w:spacing w:before="36" w:after="36"/>
              <w:rPr>
                <w:b/>
                <w:bCs/>
              </w:rPr>
            </w:pPr>
            <w:r w:rsidRPr="00F86CA2">
              <w:rPr>
                <w:b/>
                <w:bCs/>
              </w:rPr>
              <w:t>Value</w:t>
            </w:r>
          </w:p>
        </w:tc>
        <w:tc>
          <w:tcPr>
            <w:tcW w:w="1616" w:type="pct"/>
          </w:tcPr>
          <w:p w14:paraId="0CEB2931" w14:textId="77777777" w:rsidR="002E5A73" w:rsidRPr="00F86CA2" w:rsidRDefault="002E5A73" w:rsidP="00A15A2B">
            <w:pPr>
              <w:spacing w:before="36" w:after="36"/>
              <w:rPr>
                <w:b/>
                <w:bCs/>
              </w:rPr>
            </w:pPr>
            <w:r w:rsidRPr="00F86CA2">
              <w:rPr>
                <w:b/>
                <w:bCs/>
              </w:rPr>
              <w:t>Resource</w:t>
            </w:r>
          </w:p>
        </w:tc>
      </w:tr>
      <w:bookmarkEnd w:id="0"/>
      <w:tr w:rsidR="002E5A73" w:rsidRPr="00164B90" w14:paraId="120E7FE4" w14:textId="77777777" w:rsidTr="00A15A2B">
        <w:tc>
          <w:tcPr>
            <w:tcW w:w="2692" w:type="pct"/>
          </w:tcPr>
          <w:p w14:paraId="44CCBB40" w14:textId="77777777" w:rsidR="002E5A73" w:rsidRPr="00F86CA2" w:rsidRDefault="002E5A73" w:rsidP="00A15A2B">
            <w:pPr>
              <w:spacing w:before="36" w:after="36"/>
            </w:pPr>
            <w:r w:rsidRPr="00F86CA2">
              <w:t>Average incubation period: (1 to 7 days)</w:t>
            </w:r>
          </w:p>
        </w:tc>
        <w:tc>
          <w:tcPr>
            <w:tcW w:w="692" w:type="pct"/>
          </w:tcPr>
          <w:p w14:paraId="7D384CFB" w14:textId="77777777" w:rsidR="002E5A73" w:rsidRPr="00F86CA2" w:rsidRDefault="002E5A73" w:rsidP="00A15A2B">
            <w:pPr>
              <w:spacing w:before="36" w:after="36"/>
            </w:pPr>
            <w:r w:rsidRPr="00F86CA2">
              <w:t>3.5</w:t>
            </w:r>
          </w:p>
        </w:tc>
        <w:tc>
          <w:tcPr>
            <w:tcW w:w="1616" w:type="pct"/>
          </w:tcPr>
          <w:p w14:paraId="73EE2501" w14:textId="77777777" w:rsidR="002E5A73" w:rsidRPr="001372B0" w:rsidRDefault="002E5A73" w:rsidP="00A15A2B">
            <w:pPr>
              <w:spacing w:before="36" w:after="36"/>
              <w:rPr>
                <w:color w:val="0070C0"/>
              </w:rPr>
            </w:pPr>
            <w:r>
              <w:rPr>
                <w:color w:val="0070C0"/>
              </w:rPr>
              <w:fldChar w:fldCharType="begin" w:fldLock="1"/>
            </w:r>
            <w:r>
              <w:rPr>
                <w:color w:val="0070C0"/>
              </w:rPr>
              <w:instrText>ADDIN CSL_CITATION {"citationItems":[{"id":"ITEM-1","itemData":{"DOI":"10.3390/jcm9020538","ISSN":"2077-0383","PMID":"32079150","abstract":"The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author":[{"dropping-particle":"","family":"Linton","given":"Natalie","non-dropping-particle":"","parse-names":false,"suffix":""},{"dropping-particle":"","family":"Kobayashi","given":"Tetsuro","non-dropping-particle":"","parse-names":false,"suffix":""},{"dropping-particle":"","family":"Yang","given":"Yichi","non-dropping-particle":"","parse-names":false,"suffix":""},{"dropping-particle":"","family":"Hayashi","given":"Katsuma","non-dropping-particle":"","parse-names":false,"suffix":""},{"dropping-particle":"","family":"Akhmetzhanov","given":"Andrei","non-dropping-particle":"","parse-names":false,"suffix":""},{"dropping-particle":"","family":"Jung","given":"Sung-mok","non-dropping-particle":"","parse-names":false,"suffix":""},{"dropping-particle":"","family":"Yuan","given":"Baoyin","non-dropping-particle":"","parse-names":false,"suffix":""},{"dropping-particle":"","family":"Kinoshita","given":"Ryo","non-dropping-particle":"","parse-names":false,"suffix":""},{"dropping-particle":"","family":"Nishiura","given":"Hiroshi","non-dropping-particle":"","parse-names":false,"suffix":""}],"container-title":"Journal of Clinical Medicine","id":"ITEM-1","issue":"2","issued":{"date-parts":[["2020","2","17"]]},"page":"538","publisher":"MDPI AG","title":"Incubation Period and Other Epidemiological Characteristics of 2019 Novel Coronavirus Infections with Right Truncation: A Statistical Analysis of Publicly Available Case Data","type":"article-journal","volume":"9"},"uris":["http://www.mendeley.com/documents/?uuid=25fc99ef-e1d2-3844-af70-4c16ec112620"]},{"id":"ITEM-2","itemData":{"DOI":"10.1101/2020.04.01.20050138","abstract":"Background: Our understanding of the corona virus disease 2019 (COVID-19) continues to evolve. However, there are many unknowns about its epidemiology. Purpose: To synthesize the number of deaths from confirmed COVID-19 cases, incubation period, as well as time from onset of COVID-19 symptoms to first medical visit, ICU admission, recovery and death of COVID-19. Data Sources: MEDLINE, Embase, and Google Scholar from December 01, 2019 through to March 11, 2020 without language restrictions as well as bibliographies of relevant articles. Study Selection: Quantitative studies that recruited people living with or died due to COVID-19. Data Extraction: Two independent reviewers extracted the data. Conflicts were resolved through discussion with a senior author. Data Synthesis: Out of 1675 non-duplicate studies identified, 57 were included. Pooled mean incubation period was 5.84 (99% CI: 4.83, 6.85) days. Pooled mean number of days from the onset of COVID-19 symptoms to first clinical visit was 4.82 (95% CI: 3.48, 6.15), ICU admission was 10.48 (95% CI: 9.80, 11.16), recovery was 17.76 (95% CI: 12.64, 22.87), and until death was 15.93 (95% CI: 13.07, 18.79). Pooled probability of COVID-19-related death was 0.02 (95% CI: 0.02, 0.03). Limitations: Studies are observational and findings are mainly based on studies that recruited patient from clinics and hospitals and so may be biased toward more severe cases. Conclusion: We found that the incubation period and lag between the onset of symptoms and diagnosis of COVID-19 is longer than other respiratory viral infections including MERS and SARS; however, the current policy of 14 days of mandatory quarantine for everyone might be too conservative. Longer quarantine periods might be more justified for extreme cases.Competing Interest StatementThe authors have declared no competing interest.Funding StatementNoneAuthor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author":[{"dropping-particle":"","family":"Khalili","given":"Malahat","non-dropping-particle":"","parse-names":false,"suffix":""},{"dropping-particle":"","family":"Karamouzian","given":"Mohammad","non-dropping-particle":"","parse-names":false,"suffix":""},{"dropping-particle":"","family":"Nasiri","given":"Naser","non-dropping-particle":"","parse-names":false,"suffix":""},{"dropping-particle":"","family":"Javadi","given":"Sara","non-dropping-particle":"","parse-names":false,"suffix":""},{"dropping-particle":"","family":"Mirzazadeh","given":"Ali","non-dropping-particle":"","parse-names":false,"suffix":""},{"dropping-particle":"","family":"Sharifi","given":"Hamid","non-dropping-particle":"","parse-names":false,"suffix":""}],"container-title":"medRxiv","id":"ITEM-2","issued":{"date-parts":[["2020","4","6"]]},"page":"2020.04.01.20050138","publisher":"Cold Spring Harbor Laboratory Press","title":"Epidemiological Characteristics of COVID-19: A Systemic Review and Meta-Analysis","type":"article-journal"},"uris":["http://www.mendeley.com/documents/?uuid=d597cebd-9e11-3002-9bdc-6d014c8d84bf"]},{"id":"ITEM-3","itemData":{"DOI":"10.1101/2020.03.03.20028423","abstract":"Background Rapid spread of SARS-CoV-2 in Wuhan prompted heightened surveillance in Shenzhen and elsewhere in China. The resulting data provide a rare opportunity to measure key metrics of disease course, transmission, and the impact of control. Methods The Shenzhen CDC identified 391 SARS-CoV-2 cases from January 14 to February 12, 2020 and 1286 close contacts. We compare cases identified through symptomatic surveillance and contact tracing, and estimate the time from symptom onset to confirmation, isolation, and hospitalization. We estimate metrics of disease transmission and analyze factors influencing transmission risk. Findings Cases were older than the general population (mean age 45) and balanced between males (187) and females (204). Ninety-one percent had mild or moderate clinical severity at initial assessment. Three have died, 225 have recovered (median time to recovery is 21 days). Cases were isolated on average 4.6 days after developing symptoms; contact tracing reduced this by 1.9 days. Household contacts and those travelling with a case where at higher risk of infection (ORs 6 and 7) than other close contacts. The household secondary attack rate was 15%, and children were as likely to be infected as adults. The observed reproductive number was 0.4, with a mean serial interval of 6.3 days. Interpretation Our data on cases as well as their infected and uninfected close contacts provide key insights into SARS-CoV-2 epidemiology. This work shows that heightened surveillance and isolation, particularly contact tracing, reduces the time cases are infectious in the community, thereby reducing R. Its overall impact, however, is uncertain and highly dependent on the number of asymptomatic cases. We further show that children are at similar risk of infection as the general population, though less likely to have severe symptoms; hence should be considered in analyses of transmission and control.\n\n### Competing Interest Statement\n\nThe authors have declared no competing interest.\n\n### Funding Statement\n\nTM, CY, TZ, BS, and YS were funded by the Emergency Response Program of Harbin Institute of Technology (HITERP010) and Emergency Response Program of Peng Cheng Laboratory (PCLERP001). JL, ST and QB were funded by a grant from the US Centers for Disease Control and Prevention (NU2GGH002000). \n\n### Author Declarations\n\nAll relevant ethical guidelines have been followed; any necessary IRB and/or ethics committee approvals have been obtained and details of …","author":[{"dropping-particle":"","family":"Bi","given":"Qifang","non-dropping-particle":"","parse-names":false,"suffix":""},{"dropping-particle":"","family":"Wu","given":"Yongsheng","non-dropping-particle":"","parse-names":false,"suffix":""},{"dropping-particle":"","family":"Mei","given":"Shujiang","non-dropping-particle":"","parse-names":false,"suffix":""},{"dropping-particle":"","family":"Ye","given":"Chenfei","non-dropping-particle":"","parse-names":false,"suffix":""},{"dropping-particle":"","family":"Zou","given":"Xuan","non-dropping-particle":"","parse-names":false,"suffix":""},{"dropping-particle":"","family":"Zhang","given":"Zhen","non-dropping-particle":"","parse-names":false,"suffix":""},{"dropping-particle":"","family":"Liu","given":"Xiaojian","non-dropping-particle":"","parse-names":false,"suffix":""},{"dropping-particle":"","family":"Wei","given":"Lan","non-dropping-particle":"","parse-names":false,"suffix":""},{"dropping-particle":"","family":"Truelove","given":"Shaun","non-dropping-particle":"","parse-names":false,"suffix":""},{"dropping-particle":"","family":"Zhang","given":"Tong","non-dropping-particle":"","parse-names":false,"suffix":""},{"dropping-particle":"","family":"Gao","given":"Wei","non-dropping-particle":"","parse-names":false,"suffix":""},{"dropping-particle":"","family":"Cheng","given":"Cong","non-dropping-particle":"","parse-names":false,"suffix":""},{"dropping-particle":"","family":"Tang","given":"Xiujuan","non-dropping-particle":"","parse-names":false,"suffix":""},{"dropping-particle":"","family":"Wu","given":"Xiaoliang","non-dropping-particle":"","parse-names":false,"suffix":""},{"dropping-particle":"","family":"Wu","given":"Yu","non-dropping-particle":"","parse-names":false,"suffix":""},{"dropping-particle":"","family":"Sun","given":"Binbin","non-dropping-particle":"","parse-names":false,"suffix":""},{"dropping-particle":"","family":"Huang","given":"Suli","non-dropping-particle":"","parse-names":false,"suffix":""},{"dropping-particle":"","family":"Sun","given":"Yu","non-dropping-particle":"","parse-names":false,"suffix":""},{"dropping-particle":"","family":"Zhang","given":"Juncen","non-dropping-particle":"","parse-names":false,"suffix":""},{"dropping-particle":"","family":"Ma","given":"Ting","non-dropping-particle":"","parse-names":false,"suffix":""},{"dropping-particle":"","family":"Lessler","given":"Justin","non-dropping-particle":"","parse-names":false,"suffix":""},{"dropping-particle":"","family":"Feng","given":"Teijian","non-dropping-particle":"","parse-names":false,"suffix":""}],"container-title":"medRxiv","id":"ITEM-3","issued":{"date-parts":[["2020","3","27"]]},"page":"2020.03.03.20028423","publisher":"Cold Spring Harbor Laboratory Press","title":"Epidemiology and Transmission of COVID-19 in Shenzhen China: Analysis of 391 cases and 1,286 of their close contacts","type":"article-journal"},"uris":["http://www.mendeley.com/documents/?uuid=cb76b98f-575f-340a-b82e-d13dc9a89101"]}],"mendeley":{"formattedCitation":"(24–26)","manualFormatting":"[24–26]","plainTextFormattedCitation":"(24–26)","previouslyFormattedCitation":"(23–25)"},"properties":{"noteIndex":0},"schema":"https://github.com/citation-style-language/schema/raw/master/csl-citation.json"}</w:instrText>
            </w:r>
            <w:r>
              <w:rPr>
                <w:color w:val="0070C0"/>
              </w:rPr>
              <w:fldChar w:fldCharType="separate"/>
            </w:r>
            <w:r>
              <w:rPr>
                <w:color w:val="0070C0"/>
              </w:rPr>
              <w:t>[</w:t>
            </w:r>
            <w:r w:rsidRPr="002518DC">
              <w:rPr>
                <w:noProof/>
                <w:color w:val="0070C0"/>
              </w:rPr>
              <w:t>24–26</w:t>
            </w:r>
            <w:r>
              <w:rPr>
                <w:noProof/>
                <w:color w:val="0070C0"/>
              </w:rPr>
              <w:t>]</w:t>
            </w:r>
            <w:r>
              <w:rPr>
                <w:color w:val="0070C0"/>
              </w:rPr>
              <w:fldChar w:fldCharType="end"/>
            </w:r>
          </w:p>
        </w:tc>
      </w:tr>
      <w:tr w:rsidR="002E5A73" w:rsidRPr="00164B90" w14:paraId="649BDAAD" w14:textId="77777777" w:rsidTr="00A15A2B">
        <w:tc>
          <w:tcPr>
            <w:tcW w:w="2692" w:type="pct"/>
          </w:tcPr>
          <w:p w14:paraId="514D104A" w14:textId="77777777" w:rsidR="002E5A73" w:rsidRPr="00F86CA2" w:rsidRDefault="002E5A73" w:rsidP="00A15A2B">
            <w:pPr>
              <w:spacing w:before="36" w:after="36"/>
            </w:pPr>
            <w:r w:rsidRPr="00F86CA2">
              <w:t>Average duration of symptomatic infection period: (1 to 7 days)</w:t>
            </w:r>
          </w:p>
        </w:tc>
        <w:tc>
          <w:tcPr>
            <w:tcW w:w="692" w:type="pct"/>
          </w:tcPr>
          <w:p w14:paraId="1476C525" w14:textId="77777777" w:rsidR="002E5A73" w:rsidRPr="000200D4" w:rsidRDefault="002E5A73" w:rsidP="00A15A2B">
            <w:pPr>
              <w:spacing w:before="36" w:after="36"/>
              <w:rPr>
                <w:lang w:val="en-GB"/>
              </w:rPr>
            </w:pPr>
            <w:r w:rsidRPr="00F86CA2">
              <w:t>4.5</w:t>
            </w:r>
          </w:p>
        </w:tc>
        <w:tc>
          <w:tcPr>
            <w:tcW w:w="1616" w:type="pct"/>
          </w:tcPr>
          <w:p w14:paraId="2B75E340" w14:textId="77777777" w:rsidR="002E5A73" w:rsidRPr="001372B0" w:rsidRDefault="002E5A73" w:rsidP="00A15A2B">
            <w:pPr>
              <w:spacing w:before="36" w:after="36"/>
              <w:rPr>
                <w:color w:val="0070C0"/>
              </w:rPr>
            </w:pPr>
            <w:r>
              <w:rPr>
                <w:color w:val="0070C0"/>
              </w:rPr>
              <w:fldChar w:fldCharType="begin" w:fldLock="1"/>
            </w:r>
            <w:r>
              <w:rPr>
                <w:color w:val="0070C0"/>
              </w:rPr>
              <w:instrText>ADDIN CSL_CITATION {"citationItems":[{"id":"ITEM-1","itemData":{"DOI":"10.3390/jcm9020538","ISSN":"2077-0383","PMID":"32079150","abstract":"The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author":[{"dropping-particle":"","family":"Linton","given":"Natalie","non-dropping-particle":"","parse-names":false,"suffix":""},{"dropping-particle":"","family":"Kobayashi","given":"Tetsuro","non-dropping-particle":"","parse-names":false,"suffix":""},{"dropping-particle":"","family":"Yang","given":"Yichi","non-dropping-particle":"","parse-names":false,"suffix":""},{"dropping-particle":"","family":"Hayashi","given":"Katsuma","non-dropping-particle":"","parse-names":false,"suffix":""},{"dropping-particle":"","family":"Akhmetzhanov","given":"Andrei","non-dropping-particle":"","parse-names":false,"suffix":""},{"dropping-particle":"","family":"Jung","given":"Sung-mok","non-dropping-particle":"","parse-names":false,"suffix":""},{"dropping-particle":"","family":"Yuan","given":"Baoyin","non-dropping-particle":"","parse-names":false,"suffix":""},{"dropping-particle":"","family":"Kinoshita","given":"Ryo","non-dropping-particle":"","parse-names":false,"suffix":""},{"dropping-particle":"","family":"Nishiura","given":"Hiroshi","non-dropping-particle":"","parse-names":false,"suffix":""}],"container-title":"Journal of Clinical Medicine","id":"ITEM-1","issue":"2","issued":{"date-parts":[["2020","2","17"]]},"page":"538","publisher":"MDPI AG","title":"Incubation Period and Other Epidemiological Characteristics of 2019 Novel Coronavirus Infections with Right Truncation: A Statistical Analysis of Publicly Available Case Data","type":"article-journal","volume":"9"},"uris":["http://www.mendeley.com/documents/?uuid=25fc99ef-e1d2-3844-af70-4c16ec112620"]}],"mendeley":{"formattedCitation":"(24)","manualFormatting":"[24]","plainTextFormattedCitation":"(24)","previouslyFormattedCitation":"(23)"},"properties":{"noteIndex":0},"schema":"https://github.com/citation-style-language/schema/raw/master/csl-citation.json"}</w:instrText>
            </w:r>
            <w:r>
              <w:rPr>
                <w:color w:val="0070C0"/>
              </w:rPr>
              <w:fldChar w:fldCharType="separate"/>
            </w:r>
            <w:r>
              <w:rPr>
                <w:color w:val="0070C0"/>
              </w:rPr>
              <w:t>[</w:t>
            </w:r>
            <w:r w:rsidRPr="002518DC">
              <w:rPr>
                <w:noProof/>
                <w:color w:val="0070C0"/>
              </w:rPr>
              <w:t>24</w:t>
            </w:r>
            <w:r>
              <w:rPr>
                <w:noProof/>
                <w:color w:val="0070C0"/>
              </w:rPr>
              <w:t>]</w:t>
            </w:r>
            <w:r>
              <w:rPr>
                <w:color w:val="0070C0"/>
              </w:rPr>
              <w:fldChar w:fldCharType="end"/>
            </w:r>
          </w:p>
        </w:tc>
      </w:tr>
      <w:tr w:rsidR="002E5A73" w:rsidRPr="00164B90" w14:paraId="11E77381" w14:textId="77777777" w:rsidTr="00A15A2B">
        <w:tc>
          <w:tcPr>
            <w:tcW w:w="2692" w:type="pct"/>
          </w:tcPr>
          <w:p w14:paraId="4A21032D" w14:textId="77777777" w:rsidR="002E5A73" w:rsidRPr="00F86CA2" w:rsidRDefault="002E5A73" w:rsidP="00A15A2B">
            <w:pPr>
              <w:spacing w:before="36" w:after="36"/>
            </w:pPr>
            <w:r w:rsidRPr="00F86CA2">
              <w:t>Month of peak infectivity of the virus: (1, 2, …, 12)</w:t>
            </w:r>
          </w:p>
        </w:tc>
        <w:tc>
          <w:tcPr>
            <w:tcW w:w="692" w:type="pct"/>
          </w:tcPr>
          <w:p w14:paraId="6F83B780" w14:textId="77777777" w:rsidR="002E5A73" w:rsidRPr="00F86CA2" w:rsidRDefault="002E5A73" w:rsidP="00A15A2B">
            <w:pPr>
              <w:spacing w:before="36" w:after="36"/>
            </w:pPr>
            <w:r>
              <w:t>0</w:t>
            </w:r>
          </w:p>
        </w:tc>
        <w:tc>
          <w:tcPr>
            <w:tcW w:w="1616" w:type="pct"/>
          </w:tcPr>
          <w:p w14:paraId="2B23A7C1" w14:textId="77777777" w:rsidR="002E5A73" w:rsidRPr="00FE3FEF" w:rsidRDefault="002E5A73" w:rsidP="00A15A2B">
            <w:pPr>
              <w:spacing w:before="36" w:after="36"/>
              <w:rPr>
                <w:color w:val="0070C0"/>
              </w:rPr>
            </w:pPr>
            <w:r>
              <w:rPr>
                <w:color w:val="0070C0"/>
              </w:rPr>
              <w:t xml:space="preserve">NA </w:t>
            </w:r>
            <w:r w:rsidRPr="00FE3FEF">
              <w:rPr>
                <w:color w:val="0070C0"/>
              </w:rPr>
              <w:t>(disabled parameter)</w:t>
            </w:r>
            <w:r>
              <w:rPr>
                <w:color w:val="0070C0"/>
              </w:rPr>
              <w:t xml:space="preserve"> </w:t>
            </w:r>
          </w:p>
        </w:tc>
      </w:tr>
      <w:tr w:rsidR="002E5A73" w:rsidRPr="00164B90" w14:paraId="36992C65" w14:textId="77777777" w:rsidTr="00A15A2B">
        <w:tc>
          <w:tcPr>
            <w:tcW w:w="2692" w:type="pct"/>
          </w:tcPr>
          <w:p w14:paraId="7746CDEA" w14:textId="77777777" w:rsidR="002E5A73" w:rsidRPr="00F86CA2" w:rsidRDefault="002E5A73" w:rsidP="00A15A2B">
            <w:pPr>
              <w:spacing w:before="36" w:after="36"/>
            </w:pPr>
            <w:r w:rsidRPr="00F86CA2">
              <w:t>Annual variation in infectivity of the virus:</w:t>
            </w:r>
          </w:p>
        </w:tc>
        <w:tc>
          <w:tcPr>
            <w:tcW w:w="692" w:type="pct"/>
          </w:tcPr>
          <w:p w14:paraId="725670BB" w14:textId="77777777" w:rsidR="002E5A73" w:rsidRPr="00F86CA2" w:rsidRDefault="002E5A73" w:rsidP="00A15A2B">
            <w:pPr>
              <w:spacing w:before="36" w:after="36"/>
            </w:pPr>
            <w:r w:rsidRPr="00F86CA2">
              <w:t>0</w:t>
            </w:r>
          </w:p>
        </w:tc>
        <w:tc>
          <w:tcPr>
            <w:tcW w:w="1616" w:type="pct"/>
          </w:tcPr>
          <w:p w14:paraId="792FB755" w14:textId="77777777" w:rsidR="002E5A73" w:rsidRPr="00FE3FEF" w:rsidRDefault="002E5A73" w:rsidP="00A15A2B">
            <w:pPr>
              <w:spacing w:before="36" w:after="36"/>
              <w:rPr>
                <w:color w:val="0070C0"/>
              </w:rPr>
            </w:pPr>
            <w:r w:rsidRPr="00FE3FEF">
              <w:rPr>
                <w:color w:val="0070C0"/>
              </w:rPr>
              <w:t>NA (disabled parameter)</w:t>
            </w:r>
          </w:p>
        </w:tc>
      </w:tr>
      <w:tr w:rsidR="002E5A73" w:rsidRPr="00164B90" w14:paraId="57649D7B" w14:textId="77777777" w:rsidTr="00A15A2B">
        <w:tc>
          <w:tcPr>
            <w:tcW w:w="2692" w:type="pct"/>
          </w:tcPr>
          <w:p w14:paraId="2D48E38D" w14:textId="77777777" w:rsidR="002E5A73" w:rsidRPr="00F86CA2" w:rsidRDefault="002E5A73" w:rsidP="00A15A2B">
            <w:pPr>
              <w:spacing w:before="36" w:after="36"/>
            </w:pPr>
            <w:r w:rsidRPr="00F86CA2">
              <w:t>Average duration of immunity: (0.5 to 150)</w:t>
            </w:r>
          </w:p>
        </w:tc>
        <w:tc>
          <w:tcPr>
            <w:tcW w:w="692" w:type="pct"/>
          </w:tcPr>
          <w:p w14:paraId="604E6F4A" w14:textId="77777777" w:rsidR="002E5A73" w:rsidRPr="00F86CA2" w:rsidRDefault="002E5A73" w:rsidP="00A15A2B">
            <w:pPr>
              <w:spacing w:before="36" w:after="36"/>
            </w:pPr>
            <w:r w:rsidRPr="00F86CA2">
              <w:t>150</w:t>
            </w:r>
          </w:p>
        </w:tc>
        <w:tc>
          <w:tcPr>
            <w:tcW w:w="1616" w:type="pct"/>
          </w:tcPr>
          <w:p w14:paraId="3C104645" w14:textId="77777777" w:rsidR="002E5A73" w:rsidRPr="00FE3FEF" w:rsidRDefault="002E5A73" w:rsidP="00A15A2B">
            <w:pPr>
              <w:spacing w:before="36" w:after="36"/>
              <w:rPr>
                <w:color w:val="0070C0"/>
              </w:rPr>
            </w:pPr>
            <w:r w:rsidRPr="00FE3FEF">
              <w:rPr>
                <w:color w:val="0070C0"/>
              </w:rPr>
              <w:t>NA (disabled parameter)</w:t>
            </w:r>
          </w:p>
        </w:tc>
      </w:tr>
      <w:tr w:rsidR="002E5A73" w:rsidRPr="00164B90" w14:paraId="08796619" w14:textId="77777777" w:rsidTr="00A15A2B">
        <w:tc>
          <w:tcPr>
            <w:tcW w:w="2692" w:type="pct"/>
          </w:tcPr>
          <w:p w14:paraId="49FA5E69" w14:textId="77777777" w:rsidR="002E5A73" w:rsidRPr="00F86CA2" w:rsidRDefault="002E5A73" w:rsidP="00A15A2B">
            <w:pPr>
              <w:spacing w:before="36" w:after="36"/>
            </w:pPr>
            <w:r w:rsidRPr="00F86CA2">
              <w:t>Probability upon infection of developing clinical symptoms:</w:t>
            </w:r>
          </w:p>
        </w:tc>
        <w:tc>
          <w:tcPr>
            <w:tcW w:w="692" w:type="pct"/>
          </w:tcPr>
          <w:p w14:paraId="2504BD1C" w14:textId="77777777" w:rsidR="002E5A73" w:rsidRPr="00F86CA2" w:rsidRDefault="002E5A73" w:rsidP="00A15A2B">
            <w:pPr>
              <w:spacing w:before="36" w:after="36"/>
            </w:pPr>
            <w:r>
              <w:t>0.</w:t>
            </w:r>
            <w:r w:rsidRPr="00F86CA2">
              <w:t>55</w:t>
            </w:r>
          </w:p>
        </w:tc>
        <w:tc>
          <w:tcPr>
            <w:tcW w:w="1616" w:type="pct"/>
          </w:tcPr>
          <w:p w14:paraId="41D7A247" w14:textId="77777777" w:rsidR="002E5A73" w:rsidRPr="001372B0" w:rsidRDefault="002E5A73" w:rsidP="00A15A2B">
            <w:pPr>
              <w:spacing w:before="36" w:after="36"/>
              <w:rPr>
                <w:color w:val="0070C0"/>
              </w:rPr>
            </w:pPr>
            <w:r w:rsidRPr="00AF363B">
              <w:rPr>
                <w:color w:val="0070C0"/>
              </w:rPr>
              <w:fldChar w:fldCharType="begin" w:fldLock="1"/>
            </w:r>
            <w:r>
              <w:rPr>
                <w:color w:val="0070C0"/>
              </w:rPr>
              <w:instrText>ADDIN CSL_CITATION {"citationItems":[{"id":"ITEM-1","itemData":{"DOI":"10.1101/2020.02.20.20025866","abstract":"The potential infectiousness of asymptomatic COVID-19 cases together with a substantial fraction of asymptomatic infections among all infections, have been highlighted in clinical studies. We conducted statistical modeling analysis to derive the delay-adjusted asymptomatic proportion of the positive COVID-19 infections onboard the Princess Cruises ship along with the timeline of infections. We estimated the asymptomatic proportion at 17.9% (95% CrI: 15.5%-20.2%), with most of the infections occurring before the start of the 2-week quarantine.Competing Interest StatementThe authors have declared no competing interest.Funding StatementKM acknowledges support from the Japan Society for the Promotion of Science (JSPS) KAKENHI Grant Number 18K17368 and from the Leading Initiative for Excellent Young Researchers from the Ministry of Education, Culture, Sport, Science &amp;amp;amp; Technology of Japan. KK acknowledges support from the JSPS KAKENHI Grant Number 18K19336 and 19H05330. AZ acknowledges supports from the Oxford Martin School Programme on Pandemic Genomics. GC acknowledges support from NSF grant 1414374 as part of the joint NSF-NIH-USDA Ecology and Evolution of Infectious Diseases programAuthor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appropriate research reporting guidelines and uploaded the relevant EQUATOR Network research reporting checklist(s) and other pertinent material as supplementary files, if applicable.YesThe present study relies on published data and access information to essential components of the data are available from the corresponding author.","author":[{"dropping-particle":"","family":"Mizumoto","given":"Kenji","non-dropping-particle":"","parse-names":false,"suffix":""},{"dropping-particle":"","family":"Kagaya","given":"Katsushi","non-dropping-particle":"","parse-names":false,"suffix":""},{"dropping-particle":"","family":"Zarebski","given":"Alexander","non-dropping-particle":"","parse-names":false,"suffix":""},{"dropping-particle":"","family":"Chowell","given":"Gerardo","non-dropping-particle":"","parse-names":false,"suffix":""}],"container-title":"medRxiv","id":"ITEM-1","issued":{"date-parts":[["2020","3","6"]]},"number-of-pages":"2020.02.20.20025866","publisher":"Cold Spring Harbor Laboratory Press","title":"Estimating the Asymptomatic Proportion of 2019 Novel Coronavirus onboard the Princess Cruises Ship, 2020","type":"report"},"uris":["http://www.mendeley.com/documents/?uuid=6bd11644-71a5-36e9-ac02-c0b1e3c13eaf"]},{"id":"ITEM-2","itemData":{"DOI":"10.1136/bmj.m1375","ISSN":"17561833","PMID":"32241884","abstract":"New evidence has emerged from China indicating that the large majority of coronavirus infections do not result in symptoms.\n\nChinese authorities began publishing daily figures on 1 April on the number of new coronavirus cases that are asymptomatic, with the first day’s figures suggesting that around four in five coronavirus infections caused no illness. Many experts believe that unnoticed, asymptomatic cases of coronavirus infection could be an important source of contagion.\n\nA total of 130 of 166 new infections (78%) identified in the 24 hours to the afternoon of Wednesday 1 April were asymptomatic, said China’s National Health Commission. And most of the 36 cases in which patients showed symptoms involved arrivals from overseas, down from 48 the previous day, the commission said.\n\nChina is rigorously testing arrivals from overseas for fear of importing a …","author":[{"dropping-particle":"","family":"Day","given":"Michael","non-dropping-particle":"","parse-names":false,"suffix":""}],"container-title":"BMJ (Clinical research ed.)","id":"ITEM-2","issued":{"date-parts":[["2020","4","2"]]},"page":"m1375","publisher":"NLM (Medline)","title":"Covid-19: four fifths of cases are asymptomatic, China figures indicate","type":"article-journal","volume":"369"},"uris":["http://www.mendeley.com/documents/?uuid=941b23b5-167a-36b3-aa5b-f254a08d0583"]},{"id":"ITEM-3","itemData":{"author":[{"dropping-particle":"","family":"ECDC","given":"","non-dropping-particle":"","parse-names":false,"suffix":""}],"id":"ITEM-3","issued":{"date-parts":[["2020"]]},"title":"Novel coronavirus disease 2019 (COVID-19) pandemic: increased transmission in the EU/EEA and the UK – sixth update","type":"report"},"uris":["http://www.mendeley.com/documents/?uuid=c3f9811f-707c-3272-a040-cab1ca1a479e"]}],"mendeley":{"formattedCitation":"(7,27,28)","manualFormatting":"[7,27,28]","plainTextFormattedCitation":"(7,27,28)","previouslyFormattedCitation":"(6,26,27)"},"properties":{"noteIndex":0},"schema":"https://github.com/citation-style-language/schema/raw/master/csl-citation.json"}</w:instrText>
            </w:r>
            <w:r w:rsidRPr="00AF363B">
              <w:rPr>
                <w:color w:val="0070C0"/>
              </w:rPr>
              <w:fldChar w:fldCharType="separate"/>
            </w:r>
            <w:r>
              <w:rPr>
                <w:color w:val="0070C0"/>
              </w:rPr>
              <w:t>[</w:t>
            </w:r>
            <w:r w:rsidRPr="002518DC">
              <w:rPr>
                <w:noProof/>
                <w:color w:val="0070C0"/>
              </w:rPr>
              <w:t>7,27,28</w:t>
            </w:r>
            <w:r>
              <w:rPr>
                <w:noProof/>
                <w:color w:val="0070C0"/>
              </w:rPr>
              <w:t>]</w:t>
            </w:r>
            <w:r w:rsidRPr="00AF363B">
              <w:rPr>
                <w:color w:val="0070C0"/>
              </w:rPr>
              <w:fldChar w:fldCharType="end"/>
            </w:r>
          </w:p>
        </w:tc>
      </w:tr>
      <w:tr w:rsidR="002E5A73" w:rsidRPr="00164B90" w14:paraId="5229662C" w14:textId="77777777" w:rsidTr="00A15A2B">
        <w:tc>
          <w:tcPr>
            <w:tcW w:w="2692" w:type="pct"/>
          </w:tcPr>
          <w:p w14:paraId="344E7A91" w14:textId="77777777" w:rsidR="002E5A73" w:rsidRPr="00F86CA2" w:rsidRDefault="002E5A73" w:rsidP="00A15A2B">
            <w:pPr>
              <w:spacing w:before="36" w:after="36"/>
            </w:pPr>
            <w:r w:rsidRPr="00F86CA2">
              <w:t xml:space="preserve">Probability upon </w:t>
            </w:r>
            <w:proofErr w:type="spellStart"/>
            <w:r w:rsidRPr="00F86CA2">
              <w:t>hospitali</w:t>
            </w:r>
            <w:r>
              <w:t>s</w:t>
            </w:r>
            <w:r w:rsidRPr="00F86CA2">
              <w:t>ation</w:t>
            </w:r>
            <w:proofErr w:type="spellEnd"/>
            <w:r w:rsidRPr="00F86CA2">
              <w:t xml:space="preserve"> of requiring ICU admission:</w:t>
            </w:r>
          </w:p>
        </w:tc>
        <w:tc>
          <w:tcPr>
            <w:tcW w:w="692" w:type="pct"/>
          </w:tcPr>
          <w:p w14:paraId="41C0C9F8" w14:textId="77777777" w:rsidR="002E5A73" w:rsidRPr="00F86CA2" w:rsidRDefault="002E5A73" w:rsidP="00A15A2B">
            <w:pPr>
              <w:spacing w:before="36" w:after="36"/>
            </w:pPr>
            <w:r w:rsidRPr="00436E0F">
              <w:t>0.50</w:t>
            </w:r>
          </w:p>
        </w:tc>
        <w:tc>
          <w:tcPr>
            <w:tcW w:w="1616" w:type="pct"/>
          </w:tcPr>
          <w:p w14:paraId="1C10F8E7" w14:textId="77777777" w:rsidR="002E5A73" w:rsidRPr="001372B0" w:rsidRDefault="002E5A73" w:rsidP="00A15A2B">
            <w:pPr>
              <w:spacing w:before="36" w:after="36"/>
              <w:rPr>
                <w:color w:val="0070C0"/>
              </w:rPr>
            </w:pPr>
            <w:r>
              <w:rPr>
                <w:color w:val="0070C0"/>
              </w:rPr>
              <w:fldChar w:fldCharType="begin" w:fldLock="1"/>
            </w:r>
            <w:r>
              <w:rPr>
                <w:color w:val="0070C0"/>
              </w:rPr>
              <w:instrText>ADDIN CSL_CITATION {"citationItems":[{"id":"ITEM-1","itemData":{"DOI":"10.1016/S1473-3099(20)30243-7","ISSN":"14744457","PMID":"32240634","abstract":"Background: In the face of rapidly changing data, a range of case fatality ratio estimates for coronavirus disease 2019 (COVID-19) have been produced that differ substantially in magnitude. We aimed to provide robust estimates, accounting for censoring and ascertainment biases. Methods: We collected individual-case data for patients who died from COVID-19 in Hubei, mainland China (reported by national and provincial health commissions to Feb 8, 2020), and for cases outside of mainland China (from government or ministry of health websites and media reports for 37 countries, as well as Hong Kong and Macau, until Feb 25, 2020). These individual-case data were used to estimate the time between onset of symptoms and outcome (death or discharge from hospital). We next obtained age-stratified estimates of the case fatality ratio by relating the aggregate distribution of cases to the observed cumulative deaths in China, assuming a constant attack rate by age and adjusting for demography and age-based and location-based under-ascertainment. We also estimated the case fatality ratio from individual line-list data on 1334 cases identified outside of mainland China. Using data on the prevalence of PCR-confirmed cases in international residents repatriated from China, we obtained age-stratified estimates of the infection fatality ratio. Furthermore, data on age-stratified severity in a subset of 3665 cases from China were used to estimate the proportion of infected individuals who are likely to require hospitalisation. Findings: Using data on 24 deaths that occurred in mainland China and 165 recoveries outside of China, we estimated the mean duration from onset of symptoms to death to be 17·8 days (95% credible interval [CrI] 16·9–19·2) and to hospital discharge to be 24·7 days (22·9–28·1). In all laboratory confirmed and clinically diagnosed cases from mainland China (n=70 117), we estimated a crude case fatality ratio (adjusted for censoring) of 3·67% (95% CrI 3·56–3·80). However, after further adjusting for demography and under-ascertainment, we obtained a best estimate of the case fatality ratio in China of 1·38% (1·23–1·53), with substantially higher ratios in older age groups (0·32% [0·27–0·38] in those aged &lt;60 years vs 6·4% [5·7–7·2] in those aged ≥60 years), up to 13·4% (11·2–15·9) in those aged 80 years or older. Estimates of case fatality ratio from international cases stratified by age were consistent with those from China (parametric estimate 1·4% [0·4–…","author":[{"dropping-particle":"","family":"Verity","given":"Robert","non-dropping-particle":"","parse-names":false,"suffix":""},{"dropping-particle":"","family":"Okell","given":"Lucy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 G.T.","non-dropping-particle":"","parse-names":false,"suffix":""},{"dropping-particle":"","family":"Fu","given":"Han","non-dropping-particle":"","parse-names":false,"suffix":""},{"dropping-particle":"","family":"Dighe","given":"Amy","non-dropping-particle":"","parse-names":false,"suffix":""},{"dropping-particle":"","family":"Griffin","given":"Jamie T.","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ori","given":"Anne","non-dropping-particle":"","parse-names":false,"suffix":""},{"dropping-particle":"","family":"Cucunubá","given":"Zulma","non-dropping-particle":"","parse-names":false,"suffix":""},{"dropping-particle":"","family":"FitzJohn","given":"Rich","non-dropping-particle":"","parse-names":false,"suffix":""},{"dropping-particle":"","family":"Gaythorpe","given":"Katy","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Elsland","given":"Sabine","non-dropping-particle":"van","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oyue","non-dropping-particle":"","parse-names":false,"suffix":""},{"dropping-particle":"","family":"Donnelly","given":"Christl A.","non-dropping-particle":"","parse-names":false,"suffix":""},{"dropping-particle":"","family":"Ghani","given":"Azra C.","non-dropping-particle":"","parse-names":false,"suffix":""},{"dropping-particle":"","family":"Ferguson","given":"Neil M.","non-dropping-particle":"","parse-names":false,"suffix":""}],"container-title":"The Lancet Infectious Diseases","id":"ITEM-1","issue":"6","issued":{"date-parts":[["2020","6","1"]]},"page":"669-677","publisher":"Lancet Publishing Group","title":"Estimates of the severity of coronavirus disease 2019: a model-based analysis","type":"article-journal","volume":"20"},"uris":["http://www.mendeley.com/documents/?uuid=70448aa1-e360-3b94-abb8-9618d51bbb83"]},{"id":"ITEM-2","itemData":{"DOI":"10.1001/jama.2020.6775","ISSN":"15383598","PMID":"32320003","abstract":"Importance: There is limited information describing the presenting characteristics and outcomes of US patients requiring hospitalization for coronavirus disease 2019 (COVID-19). Objective: To describe the clinical characteristics and outcomes of patients with COVID-19 hospitalized in a US health care system. Design, Setting, and Participants: Case series of patients with COVID-19 admitted to 12 hospitals in New York City, Long Island, and Westchester County, New York, within the Northwell Health system. The study included all sequentially hospitalized patients between March 1, 2020, and April 4, 2020, inclusive of these dates. Exposures: Confirmed severe acute respiratory syndrome coronavirus 2 (SARS-CoV-2) infection by positive result on polymerase chain reaction testing of a nasopharyngeal sample among patients requiring admission. Main Outcomes and Measures: Clinical outcomes during hospitalization, such as invasive mechanical ventilation, kidney replacement therapy, and death. Demographics, baseline comorbidities, presenting vital signs, and test results were also collected. Results: A total of 5700 patients were included (median age, 63 years [interquartile range {IQR}, 52-75; range, 0-107 years]; 39.7% female). The most common comorbidities were hypertension (3026; 56.6%), obesity (1737; 41.7%), and diabetes (1808; 33.8%). At triage, 30.7% of patients were febrile, 17.3% had a respiratory rate greater than 24 breaths/min, and 27.8% received supplemental oxygen. The rate of respiratory virus co-infection was 2.1%. Outcomes were assessed for 2634 patients who were discharged or had died at the study end point. During hospitalization, 373 patients (14.2%) (median age, 68 years [IQR, 56-78]; 33.5% female) were treated in the intensive care unit care, 320 (12.2%) received invasive mechanical ventilation, 81 (3.2%) were treated with kidney replacement therapy, and 553 (21%) died. As of April 4, 2020, for patients requiring mechanical ventilation (n = 1151, 20.2%), 38 (3.3%) were discharged alive, 282 (24.5%) died, and 831 (72.2%) remained in hospital. The median postdischarge follow-up time was 4.4 days (IQR, 2.2-9.3). A total of 45 patients (2.2%) were readmitted during the study period. The median time to readmission was 3 days (IQR, 1.0-4.5) for readmitted patients. Among the 3066 patients who remained hospitalized at the final study follow-up date (median age, 65 years [IQR, 54-75]), the median follow-up at time of censoring was 4.5 days (IQR, 2.4-8…","author":[{"dropping-particle":"","family":"Richardson","given":"Safiya","non-dropping-particle":"","parse-names":false,"suffix":""},{"dropping-particle":"","family":"Hirsch","given":"Jamie S.","non-dropping-particle":"","parse-names":false,"suffix":""},{"dropping-particle":"","family":"Narasimhan","given":"Mangala","non-dropping-particle":"","parse-names":false,"suffix":""},{"dropping-particle":"","family":"Crawford","given":"James M.","non-dropping-particle":"","parse-names":false,"suffix":""},{"dropping-particle":"","family":"McGinn","given":"Thomas","non-dropping-particle":"","parse-names":false,"suffix":""},{"dropping-particle":"","family":"Davidson","given":"Karina W.","non-dropping-particle":"","parse-names":false,"suffix":""},{"dropping-particle":"","family":"Barnaby","given":"Douglas P.","non-dropping-particle":"","parse-names":false,"suffix":""},{"dropping-particle":"","family":"Becker","given":"Lance B.","non-dropping-particle":"","parse-names":false,"suffix":""},{"dropping-particle":"","family":"Chelico","given":"John D.","non-dropping-particle":"","parse-names":false,"suffix":""},{"dropping-particle":"","family":"Cohen","given":"Stuart L.","non-dropping-particle":"","parse-names":false,"suffix":""},{"dropping-particle":"","family":"Cookingham","given":"Jennifer","non-dropping-particle":"","parse-names":false,"suffix":""},{"dropping-particle":"","family":"Coppa","given":"Kevin","non-dropping-particle":"","parse-names":false,"suffix":""},{"dropping-particle":"","family":"Diefenbach","given":"Michael A.","non-dropping-particle":"","parse-names":false,"suffix":""},{"dropping-particle":"","family":"Dominello","given":"Andrew J.","non-dropping-particle":"","parse-names":false,"suffix":""},{"dropping-particle":"","family":"Duer-Hefele","given":"Joan","non-dropping-particle":"","parse-names":false,"suffix":""},{"dropping-particle":"","family":"Falzon","given":"Louise","non-dropping-particle":"","parse-names":false,"suffix":""},{"dropping-particle":"","family":"Gitlin","given":"Jordan","non-dropping-particle":"","parse-names":false,"suffix":""},{"dropping-particle":"","family":"Hajizadeh","given":"Negin","non-dropping-particle":"","parse-names":false,"suffix":""},{"dropping-particle":"","family":"Harvin","given":"Tiffany G.","non-dropping-particle":"","parse-names":false,"suffix":""},{"dropping-particle":"","family":"Hirschwerk","given":"David A.","non-dropping-particle":"","parse-names":false,"suffix":""},{"dropping-particle":"","family":"Kim","given":"Eun Ji","non-dropping-particle":"","parse-names":false,"suffix":""},{"dropping-particle":"","family":"Kozel","given":"Zachary M.","non-dropping-particle":"","parse-names":false,"suffix":""},{"dropping-particle":"","family":"Marrast","given":"Lyndonna M.","non-dropping-particle":"","parse-names":false,"suffix":""},{"dropping-particle":"","family":"Mogavero","given":"Jazmin N.","non-dropping-particle":"","parse-names":false,"suffix":""},{"dropping-particle":"","family":"Osorio","given":"Gabrielle A.","non-dropping-particle":"","parse-names":false,"suffix":""},{"dropping-particle":"","family":"Qiu","given":"Michael","non-dropping-particle":"","parse-names":false,"suffix":""},{"dropping-particle":"","family":"Zanos","given":"Theodoros P.","non-dropping-particle":"","parse-names":false,"suffix":""}],"container-title":"JAMA - Journal of the American Medical Association","id":"ITEM-2","issue":"20","issued":{"date-parts":[["2020","5","26"]]},"page":"2052-2059","publisher":"American Medical Association","title":"Presenting Characteristics, Comorbidities, and Outcomes among 5700 Patients Hospitalized with COVID-19 in the New York City Area","type":"article-journal","volume":"323"},"uris":["http://www.mendeley.com/documents/?uuid=0257eca5-f1f1-384d-b584-ef2dcfdb3067"]},{"id":"ITEM-3","itemData":{"DOI":"10.1101/2020.04.08.20057794","ISBN":"0000000318006","abstract":"Background: Little is known about factors associated with hospitalization and critical illness in Covid-19 positive patients. Methods: We conducted a cross-sectional analysis of all patients with laboratory-confirmed Covid-19 treated at a single academic health system in New York City between March 1, 2020 and April 2, 2020, with follow up through April 7, 2020. Primary outcomes were hospitalization and critical illness (intensive care, mechanical ventilation, hospice and/or death). We conducted multivariable logistic regression to identify risk factors for adverse outcomes, and maximum information gain decision tree classifications to identify key splitters. Results: Among 4,103 Covid-19 patients, 1,999 (48.7%) were hospitalized, of whom 981/1,999 (49.1%) have been discharged home, and 292/1,999 (14.6%) have died or were discharged to hospice. Of 445 patients requiring mechanical ventilation, 162/445 (36.4%) have died. Strongest hospitalization risks were age ≥75 years (OR 66.8, 95% CI, 44.7-102.6), age 65-74 (OR 10.9, 95% CI, 8.35-14.34), BMI&gt;40 (OR 6.2, 95% CI, 4.2-9.3), and heart failure (OR 4.3 95% CI, 1.9-11.2). Strongest critical illness risks were admission oxygen saturation &lt;88% (OR 6.99, 95% CI 4.5-11.0), d-dimer&gt;2500 (OR 6.9, 95% CI, 3.2-15.2), ferritin &gt;2500 (OR 6.9, 95% CI, 3.2-15.2), and C-reactive protein (CRP) &gt;200 (OR 5.78, 95% CI, 2.6-13.8). In the decision tree for admission, the most important features were age &gt;65 and obesity; for critical illness, the most important was SpO2&lt;88, followed by procalcitonin &gt;0.5, troponin &lt;0.1 (protective), age &gt;64 and CRP&gt;200. Conclusions: Age and comorbidities are powerful predictors of hospitalization; however, admission oxygen impairment and markers of inflammation are most strongly associated with critical illness. ### Competing Interest Statement The authors have declared no competing interest. ### Funding Statement This work was funded in part by the Kenneth C. Griffin Charitable Fund, which had no role in the study design; in the collection, analysis, and interpretation of data; in the writing of the report; or in the decision to submit the article for publication.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arc…","author":[{"dropping-particle":"","family":"Petrilli","given":"Christopher M","non-dropping-particle":"","parse-names":false,"suffix":""},{"dropping-particle":"","family":"Jones","given":"Simon A","non-dropping-particle":"","parse-names":false,"suffix":""},{"dropping-particle":"","family":"Yang","given":"Jie","non-dropping-particle":"","parse-names":false,"suffix":""},{"dropping-particle":"","family":"Rajagopalan","given":"Harish","non-dropping-particle":"","parse-names":false,"suffix":""},{"dropping-particle":"","family":"O'Donnell","given":"Luke F.","non-dropping-particle":"","parse-names":false,"suffix":""},{"dropping-particle":"","family":"Chernyak","given":"Yelena","non-dropping-particle":"","parse-names":false,"suffix":""},{"dropping-particle":"","family":"Tobin","given":"Katie","non-dropping-particle":"","parse-names":false,"suffix":""},{"dropping-particle":"","family":"Cerfolio","given":"Robert J","non-dropping-particle":"","parse-names":false,"suffix":""},{"dropping-particle":"","family":"Francois","given":"Fritz","non-dropping-particle":"","parse-names":false,"suffix":""},{"dropping-particle":"","family":"Horwitz","given":"Leora I","non-dropping-particle":"","parse-names":false,"suffix":""}],"container-title":"medRxiv","id":"ITEM-3","issued":{"date-parts":[["2020","4","11"]]},"page":"2020.04.08.20057794","publisher":"Cold Spring Harbor Laboratory Press","title":"Factors associated with hospitalization and critical illness among 4,103 patients with COVID-19 disease in New York City","type":"article-journal"},"uris":["http://www.mendeley.com/documents/?uuid=1d979ada-1f04-32b7-86d3-ed54466a7109"]}],"mendeley":{"formattedCitation":"(29–31)","manualFormatting":"[29–31]","plainTextFormattedCitation":"(29–31)","previouslyFormattedCitation":"(28–30)"},"properties":{"noteIndex":0},"schema":"https://github.com/citation-style-language/schema/raw/master/csl-citation.json"}</w:instrText>
            </w:r>
            <w:r>
              <w:rPr>
                <w:color w:val="0070C0"/>
              </w:rPr>
              <w:fldChar w:fldCharType="separate"/>
            </w:r>
            <w:r>
              <w:rPr>
                <w:color w:val="0070C0"/>
              </w:rPr>
              <w:t>[</w:t>
            </w:r>
            <w:r w:rsidRPr="002518DC">
              <w:rPr>
                <w:noProof/>
                <w:color w:val="0070C0"/>
              </w:rPr>
              <w:t>29–31</w:t>
            </w:r>
            <w:r>
              <w:rPr>
                <w:noProof/>
                <w:color w:val="0070C0"/>
              </w:rPr>
              <w:t>]</w:t>
            </w:r>
            <w:r>
              <w:rPr>
                <w:color w:val="0070C0"/>
              </w:rPr>
              <w:fldChar w:fldCharType="end"/>
            </w:r>
          </w:p>
        </w:tc>
      </w:tr>
      <w:tr w:rsidR="002E5A73" w:rsidRPr="00164B90" w14:paraId="17A6D04B" w14:textId="77777777" w:rsidTr="00A15A2B">
        <w:tc>
          <w:tcPr>
            <w:tcW w:w="2692" w:type="pct"/>
          </w:tcPr>
          <w:p w14:paraId="19417EED" w14:textId="77777777" w:rsidR="002E5A73" w:rsidRPr="00F86CA2" w:rsidRDefault="002E5A73" w:rsidP="00A15A2B">
            <w:pPr>
              <w:spacing w:before="36" w:after="36"/>
            </w:pPr>
            <w:r w:rsidRPr="00F86CA2">
              <w:t>Probability upon admission to the ICU of requiring a ventilator:</w:t>
            </w:r>
          </w:p>
        </w:tc>
        <w:tc>
          <w:tcPr>
            <w:tcW w:w="692" w:type="pct"/>
          </w:tcPr>
          <w:p w14:paraId="00AF14E1" w14:textId="77777777" w:rsidR="002E5A73" w:rsidRPr="00F86CA2" w:rsidRDefault="002E5A73" w:rsidP="00A15A2B">
            <w:pPr>
              <w:spacing w:before="36" w:after="36"/>
            </w:pPr>
            <w:r>
              <w:t>0.</w:t>
            </w:r>
            <w:r w:rsidRPr="00F86CA2">
              <w:t>75</w:t>
            </w:r>
          </w:p>
        </w:tc>
        <w:tc>
          <w:tcPr>
            <w:tcW w:w="1616" w:type="pct"/>
          </w:tcPr>
          <w:p w14:paraId="57C0B9DA" w14:textId="77777777" w:rsidR="002E5A73" w:rsidRPr="001372B0" w:rsidRDefault="002E5A73" w:rsidP="00A15A2B">
            <w:pPr>
              <w:spacing w:before="36" w:after="36"/>
              <w:rPr>
                <w:color w:val="0070C0"/>
              </w:rPr>
            </w:pPr>
            <w:r>
              <w:rPr>
                <w:color w:val="0070C0"/>
              </w:rPr>
              <w:fldChar w:fldCharType="begin" w:fldLock="1"/>
            </w:r>
            <w:r>
              <w:rPr>
                <w:color w:val="0070C0"/>
              </w:rPr>
              <w:instrText>ADDIN CSL_CITATION {"citationItems":[{"id":"ITEM-1","itemData":{"DOI":"10.1001/jama.2020.6775","ISSN":"15383598","PMID":"32320003","abstract":"Importance: There is limited information describing the presenting characteristics and outcomes of US patients requiring hospitalization for coronavirus disease 2019 (COVID-19). Objective: To describe the clinical characteristics and outcomes of patients with COVID-19 hospitalized in a US health care system. Design, Setting, and Participants: Case series of patients with COVID-19 admitted to 12 hospitals in New York City, Long Island, and Westchester County, New York, within the Northwell Health system. The study included all sequentially hospitalized patients between March 1, 2020, and April 4, 2020, inclusive of these dates. Exposures: Confirmed severe acute respiratory syndrome coronavirus 2 (SARS-CoV-2) infection by positive result on polymerase chain reaction testing of a nasopharyngeal sample among patients requiring admission. Main Outcomes and Measures: Clinical outcomes during hospitalization, such as invasive mechanical ventilation, kidney replacement therapy, and death. Demographics, baseline comorbidities, presenting vital signs, and test results were also collected. Results: A total of 5700 patients were included (median age, 63 years [interquartile range {IQR}, 52-75; range, 0-107 years]; 39.7% female). The most common comorbidities were hypertension (3026; 56.6%), obesity (1737; 41.7%), and diabetes (1808; 33.8%). At triage, 30.7% of patients were febrile, 17.3% had a respiratory rate greater than 24 breaths/min, and 27.8% received supplemental oxygen. The rate of respiratory virus co-infection was 2.1%. Outcomes were assessed for 2634 patients who were discharged or had died at the study end point. During hospitalization, 373 patients (14.2%) (median age, 68 years [IQR, 56-78]; 33.5% female) were treated in the intensive care unit care, 320 (12.2%) received invasive mechanical ventilation, 81 (3.2%) were treated with kidney replacement therapy, and 553 (21%) died. As of April 4, 2020, for patients requiring mechanical ventilation (n = 1151, 20.2%), 38 (3.3%) were discharged alive, 282 (24.5%) died, and 831 (72.2%) remained in hospital. The median postdischarge follow-up time was 4.4 days (IQR, 2.2-9.3). A total of 45 patients (2.2%) were readmitted during the study period. The median time to readmission was 3 days (IQR, 1.0-4.5) for readmitted patients. Among the 3066 patients who remained hospitalized at the final study follow-up date (median age, 65 years [IQR, 54-75]), the median follow-up at time of censoring was 4.5 days (IQR, 2.4-8…","author":[{"dropping-particle":"","family":"Richardson","given":"Safiya","non-dropping-particle":"","parse-names":false,"suffix":""},{"dropping-particle":"","family":"Hirsch","given":"Jamie S.","non-dropping-particle":"","parse-names":false,"suffix":""},{"dropping-particle":"","family":"Narasimhan","given":"Mangala","non-dropping-particle":"","parse-names":false,"suffix":""},{"dropping-particle":"","family":"Crawford","given":"James M.","non-dropping-particle":"","parse-names":false,"suffix":""},{"dropping-particle":"","family":"McGinn","given":"Thomas","non-dropping-particle":"","parse-names":false,"suffix":""},{"dropping-particle":"","family":"Davidson","given":"Karina W.","non-dropping-particle":"","parse-names":false,"suffix":""},{"dropping-particle":"","family":"Barnaby","given":"Douglas P.","non-dropping-particle":"","parse-names":false,"suffix":""},{"dropping-particle":"","family":"Becker","given":"Lance B.","non-dropping-particle":"","parse-names":false,"suffix":""},{"dropping-particle":"","family":"Chelico","given":"John D.","non-dropping-particle":"","parse-names":false,"suffix":""},{"dropping-particle":"","family":"Cohen","given":"Stuart L.","non-dropping-particle":"","parse-names":false,"suffix":""},{"dropping-particle":"","family":"Cookingham","given":"Jennifer","non-dropping-particle":"","parse-names":false,"suffix":""},{"dropping-particle":"","family":"Coppa","given":"Kevin","non-dropping-particle":"","parse-names":false,"suffix":""},{"dropping-particle":"","family":"Diefenbach","given":"Michael A.","non-dropping-particle":"","parse-names":false,"suffix":""},{"dropping-particle":"","family":"Dominello","given":"Andrew J.","non-dropping-particle":"","parse-names":false,"suffix":""},{"dropping-particle":"","family":"Duer-Hefele","given":"Joan","non-dropping-particle":"","parse-names":false,"suffix":""},{"dropping-particle":"","family":"Falzon","given":"Louise","non-dropping-particle":"","parse-names":false,"suffix":""},{"dropping-particle":"","family":"Gitlin","given":"Jordan","non-dropping-particle":"","parse-names":false,"suffix":""},{"dropping-particle":"","family":"Hajizadeh","given":"Negin","non-dropping-particle":"","parse-names":false,"suffix":""},{"dropping-particle":"","family":"Harvin","given":"Tiffany G.","non-dropping-particle":"","parse-names":false,"suffix":""},{"dropping-particle":"","family":"Hirschwerk","given":"David A.","non-dropping-particle":"","parse-names":false,"suffix":""},{"dropping-particle":"","family":"Kim","given":"Eun Ji","non-dropping-particle":"","parse-names":false,"suffix":""},{"dropping-particle":"","family":"Kozel","given":"Zachary M.","non-dropping-particle":"","parse-names":false,"suffix":""},{"dropping-particle":"","family":"Marrast","given":"Lyndonna M.","non-dropping-particle":"","parse-names":false,"suffix":""},{"dropping-particle":"","family":"Mogavero","given":"Jazmin N.","non-dropping-particle":"","parse-names":false,"suffix":""},{"dropping-particle":"","family":"Osorio","given":"Gabrielle A.","non-dropping-particle":"","parse-names":false,"suffix":""},{"dropping-particle":"","family":"Qiu","given":"Michael","non-dropping-particle":"","parse-names":false,"suffix":""},{"dropping-particle":"","family":"Zanos","given":"Theodoros P.","non-dropping-particle":"","parse-names":false,"suffix":""}],"container-title":"JAMA - Journal of the American Medical Association","id":"ITEM-1","issue":"20","issued":{"date-parts":[["2020","5","26"]]},"page":"2052-2059","publisher":"American Medical Association","title":"Presenting Characteristics, Comorbidities, and Outcomes among 5700 Patients Hospitalized with COVID-19 in the New York City Area","type":"article-journal","volume":"323"},"uris":["http://www.mendeley.com/documents/?uuid=0257eca5-f1f1-384d-b584-ef2dcfdb3067"]}],"mendeley":{"formattedCitation":"(30)","manualFormatting":"[30]","plainTextFormattedCitation":"(30)","previouslyFormattedCitation":"(29)"},"properties":{"noteIndex":0},"schema":"https://github.com/citation-style-language/schema/raw/master/csl-citation.json"}</w:instrText>
            </w:r>
            <w:r>
              <w:rPr>
                <w:color w:val="0070C0"/>
              </w:rPr>
              <w:fldChar w:fldCharType="separate"/>
            </w:r>
            <w:r>
              <w:rPr>
                <w:color w:val="0070C0"/>
              </w:rPr>
              <w:t>[</w:t>
            </w:r>
            <w:r w:rsidRPr="002518DC">
              <w:rPr>
                <w:noProof/>
                <w:color w:val="0070C0"/>
              </w:rPr>
              <w:t>30</w:t>
            </w:r>
            <w:r>
              <w:rPr>
                <w:noProof/>
                <w:color w:val="0070C0"/>
              </w:rPr>
              <w:t>]</w:t>
            </w:r>
            <w:r>
              <w:rPr>
                <w:color w:val="0070C0"/>
              </w:rPr>
              <w:fldChar w:fldCharType="end"/>
            </w:r>
          </w:p>
        </w:tc>
      </w:tr>
    </w:tbl>
    <w:p w14:paraId="759181FE" w14:textId="77777777" w:rsidR="002E5A73" w:rsidRDefault="002E5A73" w:rsidP="002E5A73">
      <w:pPr>
        <w:spacing w:line="360" w:lineRule="auto"/>
        <w:rPr>
          <w:b/>
          <w:bCs/>
          <w:sz w:val="24"/>
          <w:szCs w:val="24"/>
        </w:rPr>
      </w:pPr>
    </w:p>
    <w:p w14:paraId="6A34E8AE" w14:textId="77777777" w:rsidR="002E5A73" w:rsidRDefault="002E5A73" w:rsidP="002E5A73">
      <w:pPr>
        <w:rPr>
          <w:b/>
          <w:bCs/>
          <w:sz w:val="24"/>
          <w:szCs w:val="24"/>
        </w:rPr>
      </w:pPr>
      <w:r>
        <w:rPr>
          <w:b/>
          <w:bCs/>
          <w:sz w:val="24"/>
          <w:szCs w:val="24"/>
        </w:rPr>
        <w:br w:type="page"/>
      </w:r>
    </w:p>
    <w:p w14:paraId="0ACF3B59" w14:textId="77777777" w:rsidR="002E5A73" w:rsidRDefault="002E5A73" w:rsidP="002E5A73">
      <w:pPr>
        <w:pStyle w:val="ListParagraph"/>
        <w:numPr>
          <w:ilvl w:val="0"/>
          <w:numId w:val="2"/>
        </w:numPr>
        <w:spacing w:after="0" w:line="360" w:lineRule="auto"/>
        <w:rPr>
          <w:b/>
          <w:bCs/>
          <w:sz w:val="24"/>
          <w:szCs w:val="24"/>
        </w:rPr>
      </w:pPr>
      <w:r>
        <w:rPr>
          <w:b/>
          <w:bCs/>
          <w:sz w:val="24"/>
          <w:szCs w:val="24"/>
        </w:rPr>
        <w:t xml:space="preserve">Hospitalisation </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3325"/>
        <w:gridCol w:w="902"/>
        <w:gridCol w:w="1044"/>
        <w:gridCol w:w="3745"/>
      </w:tblGrid>
      <w:tr w:rsidR="002E5A73" w:rsidRPr="00090D5B" w14:paraId="2789922F" w14:textId="77777777" w:rsidTr="00A15A2B">
        <w:tc>
          <w:tcPr>
            <w:tcW w:w="1844" w:type="pct"/>
          </w:tcPr>
          <w:p w14:paraId="4B247A88" w14:textId="77777777" w:rsidR="002E5A73" w:rsidRPr="00090D5B" w:rsidRDefault="002E5A73" w:rsidP="00A15A2B">
            <w:pPr>
              <w:spacing w:before="36" w:after="36"/>
              <w:rPr>
                <w:b/>
                <w:bCs/>
              </w:rPr>
            </w:pPr>
            <w:bookmarkStart w:id="1" w:name="_Hlk48649830"/>
            <w:r w:rsidRPr="00090D5B">
              <w:rPr>
                <w:b/>
                <w:bCs/>
              </w:rPr>
              <w:t>Description</w:t>
            </w:r>
          </w:p>
        </w:tc>
        <w:tc>
          <w:tcPr>
            <w:tcW w:w="500" w:type="pct"/>
          </w:tcPr>
          <w:p w14:paraId="517D8BE5" w14:textId="77777777" w:rsidR="002E5A73" w:rsidRPr="00090D5B" w:rsidRDefault="002E5A73" w:rsidP="00A15A2B">
            <w:pPr>
              <w:spacing w:before="36" w:after="36"/>
              <w:rPr>
                <w:b/>
                <w:bCs/>
              </w:rPr>
            </w:pPr>
            <w:r w:rsidRPr="00090D5B">
              <w:rPr>
                <w:b/>
                <w:bCs/>
              </w:rPr>
              <w:t>Value</w:t>
            </w:r>
          </w:p>
        </w:tc>
        <w:tc>
          <w:tcPr>
            <w:tcW w:w="579" w:type="pct"/>
          </w:tcPr>
          <w:p w14:paraId="586CBDE3" w14:textId="77777777" w:rsidR="002E5A73" w:rsidRPr="00090D5B" w:rsidRDefault="002E5A73" w:rsidP="00A15A2B">
            <w:pPr>
              <w:spacing w:before="36" w:after="36"/>
              <w:rPr>
                <w:b/>
                <w:bCs/>
              </w:rPr>
            </w:pPr>
            <w:r w:rsidRPr="00090D5B">
              <w:rPr>
                <w:b/>
                <w:bCs/>
              </w:rPr>
              <w:t>Unit</w:t>
            </w:r>
          </w:p>
        </w:tc>
        <w:tc>
          <w:tcPr>
            <w:tcW w:w="2077" w:type="pct"/>
          </w:tcPr>
          <w:p w14:paraId="5EBD844E" w14:textId="77777777" w:rsidR="002E5A73" w:rsidRPr="00090D5B" w:rsidRDefault="002E5A73" w:rsidP="00A15A2B">
            <w:pPr>
              <w:spacing w:before="36" w:after="36"/>
              <w:rPr>
                <w:b/>
                <w:bCs/>
              </w:rPr>
            </w:pPr>
            <w:r w:rsidRPr="00090D5B">
              <w:rPr>
                <w:b/>
                <w:bCs/>
              </w:rPr>
              <w:t>Resource</w:t>
            </w:r>
          </w:p>
        </w:tc>
      </w:tr>
      <w:bookmarkEnd w:id="1"/>
      <w:tr w:rsidR="002E5A73" w:rsidRPr="00090D5B" w14:paraId="228F788F" w14:textId="77777777" w:rsidTr="00A15A2B">
        <w:tc>
          <w:tcPr>
            <w:tcW w:w="1844" w:type="pct"/>
          </w:tcPr>
          <w:p w14:paraId="63B9D37D" w14:textId="77777777" w:rsidR="002E5A73" w:rsidRPr="00090D5B" w:rsidRDefault="002E5A73" w:rsidP="00A15A2B">
            <w:pPr>
              <w:spacing w:before="36" w:after="36"/>
            </w:pPr>
            <w:r w:rsidRPr="00090D5B">
              <w:t>Maximum number of hospital surge beds</w:t>
            </w:r>
          </w:p>
        </w:tc>
        <w:tc>
          <w:tcPr>
            <w:tcW w:w="500" w:type="pct"/>
          </w:tcPr>
          <w:p w14:paraId="6AF34803" w14:textId="77777777" w:rsidR="002E5A73" w:rsidRPr="00090D5B" w:rsidRDefault="002E5A73" w:rsidP="00A15A2B">
            <w:pPr>
              <w:spacing w:before="36" w:after="36"/>
            </w:pPr>
            <w:r w:rsidRPr="00090D5B">
              <w:t>2200</w:t>
            </w:r>
          </w:p>
        </w:tc>
        <w:tc>
          <w:tcPr>
            <w:tcW w:w="579" w:type="pct"/>
          </w:tcPr>
          <w:p w14:paraId="121E809F" w14:textId="77777777" w:rsidR="002E5A73" w:rsidRPr="00090D5B" w:rsidRDefault="002E5A73" w:rsidP="00A15A2B">
            <w:pPr>
              <w:spacing w:before="36" w:after="36"/>
            </w:pPr>
            <w:r w:rsidRPr="00090D5B">
              <w:t>beds</w:t>
            </w:r>
          </w:p>
        </w:tc>
        <w:tc>
          <w:tcPr>
            <w:tcW w:w="2077" w:type="pct"/>
          </w:tcPr>
          <w:p w14:paraId="37390C09" w14:textId="77777777" w:rsidR="002E5A73" w:rsidRPr="00421C30" w:rsidRDefault="002E5A73" w:rsidP="00A15A2B">
            <w:pPr>
              <w:spacing w:before="36" w:after="36"/>
              <w:rPr>
                <w:color w:val="0070C0"/>
              </w:rPr>
            </w:pPr>
            <w:r w:rsidRPr="00421C30">
              <w:rPr>
                <w:color w:val="0070C0"/>
              </w:rPr>
              <w:fldChar w:fldCharType="begin" w:fldLock="1"/>
            </w:r>
            <w:r>
              <w:rPr>
                <w:color w:val="0070C0"/>
              </w:rPr>
              <w:instrText>ADDIN CSL_CITATION {"citationItems":[{"id":"ITEM-1","itemData":{"URL":"http://med.kg/ru/dokumenty/prikazy.html","accessed":{"date-parts":[["2020","8","3"]]},"author":[{"dropping-particle":"","family":"MoH KR","given":"","non-dropping-particle":"","parse-names":false,"suffix":""}],"id":"ITEM-1","issued":{"date-parts":[["2020"]]},"title":"MoH Prikaz #181 on health system preparedness for the COVID-19 epidemic. March 23, 2020","type":"webpage"},"uris":["http://www.mendeley.com/documents/?uuid=90fec0a3-c3fc-33f3-8429-e27f9e9288e8"]}],"mendeley":{"formattedCitation":"(13)","manualFormatting":"[13]","plainTextFormattedCitation":"(13)","previouslyFormattedCitation":"(12)"},"properties":{"noteIndex":0},"schema":"https://github.com/citation-style-language/schema/raw/master/csl-citation.json"}</w:instrText>
            </w:r>
            <w:r w:rsidRPr="00421C30">
              <w:rPr>
                <w:color w:val="0070C0"/>
              </w:rPr>
              <w:fldChar w:fldCharType="separate"/>
            </w:r>
            <w:r>
              <w:rPr>
                <w:color w:val="0070C0"/>
              </w:rPr>
              <w:t>[</w:t>
            </w:r>
            <w:r w:rsidRPr="002518DC">
              <w:rPr>
                <w:noProof/>
                <w:color w:val="0070C0"/>
              </w:rPr>
              <w:t>13</w:t>
            </w:r>
            <w:r>
              <w:rPr>
                <w:noProof/>
                <w:color w:val="0070C0"/>
              </w:rPr>
              <w:t>]</w:t>
            </w:r>
            <w:r w:rsidRPr="00421C30">
              <w:rPr>
                <w:color w:val="0070C0"/>
              </w:rPr>
              <w:fldChar w:fldCharType="end"/>
            </w:r>
          </w:p>
        </w:tc>
      </w:tr>
      <w:tr w:rsidR="002E5A73" w:rsidRPr="00090D5B" w14:paraId="0A275717" w14:textId="77777777" w:rsidTr="00A15A2B">
        <w:tc>
          <w:tcPr>
            <w:tcW w:w="1844" w:type="pct"/>
          </w:tcPr>
          <w:p w14:paraId="7510BDC5" w14:textId="77777777" w:rsidR="002E5A73" w:rsidRPr="00090D5B" w:rsidRDefault="002E5A73" w:rsidP="00A15A2B">
            <w:pPr>
              <w:spacing w:before="36" w:after="36"/>
            </w:pPr>
            <w:r w:rsidRPr="00090D5B">
              <w:t>Maximum number of ICU beds without ventilators</w:t>
            </w:r>
          </w:p>
        </w:tc>
        <w:tc>
          <w:tcPr>
            <w:tcW w:w="500" w:type="pct"/>
          </w:tcPr>
          <w:p w14:paraId="1E4D14C5" w14:textId="77777777" w:rsidR="002E5A73" w:rsidRPr="00090D5B" w:rsidRDefault="002E5A73" w:rsidP="00A15A2B">
            <w:pPr>
              <w:spacing w:before="36" w:after="36"/>
            </w:pPr>
            <w:r w:rsidRPr="00090D5B">
              <w:t>226</w:t>
            </w:r>
          </w:p>
        </w:tc>
        <w:tc>
          <w:tcPr>
            <w:tcW w:w="579" w:type="pct"/>
          </w:tcPr>
          <w:p w14:paraId="0E229A1E" w14:textId="77777777" w:rsidR="002E5A73" w:rsidRPr="00090D5B" w:rsidRDefault="002E5A73" w:rsidP="00A15A2B">
            <w:pPr>
              <w:spacing w:before="36" w:after="36"/>
            </w:pPr>
            <w:r w:rsidRPr="00090D5B">
              <w:t>beds</w:t>
            </w:r>
          </w:p>
        </w:tc>
        <w:tc>
          <w:tcPr>
            <w:tcW w:w="2077" w:type="pct"/>
          </w:tcPr>
          <w:p w14:paraId="607F2E7D" w14:textId="77777777" w:rsidR="002E5A73" w:rsidRPr="00421C30" w:rsidRDefault="002E5A73" w:rsidP="00A15A2B">
            <w:pPr>
              <w:spacing w:before="36" w:after="36"/>
              <w:rPr>
                <w:color w:val="0070C0"/>
              </w:rPr>
            </w:pPr>
            <w:r w:rsidRPr="00421C30">
              <w:rPr>
                <w:color w:val="0070C0"/>
              </w:rPr>
              <w:fldChar w:fldCharType="begin" w:fldLock="1"/>
            </w:r>
            <w:r>
              <w:rPr>
                <w:color w:val="0070C0"/>
              </w:rPr>
              <w:instrText>ADDIN CSL_CITATION {"citationItems":[{"id":"ITEM-1","itemData":{"URL":"http://med.kg/ru/dokumenty/prikazy.html","accessed":{"date-parts":[["2020","8","3"]]},"author":[{"dropping-particle":"","family":"MoH KR","given":"","non-dropping-particle":"","parse-names":false,"suffix":""}],"id":"ITEM-1","issued":{"date-parts":[["2020"]]},"title":"MoH Prikaz #181 on health system preparedness for the COVID-19 epidemic. March 23, 2020","type":"webpage"},"uris":["http://www.mendeley.com/documents/?uuid=90fec0a3-c3fc-33f3-8429-e27f9e9288e8"]}],"mendeley":{"formattedCitation":"(13)","manualFormatting":"[13]","plainTextFormattedCitation":"(13)","previouslyFormattedCitation":"(12)"},"properties":{"noteIndex":0},"schema":"https://github.com/citation-style-language/schema/raw/master/csl-citation.json"}</w:instrText>
            </w:r>
            <w:r w:rsidRPr="00421C30">
              <w:rPr>
                <w:color w:val="0070C0"/>
              </w:rPr>
              <w:fldChar w:fldCharType="separate"/>
            </w:r>
            <w:r>
              <w:rPr>
                <w:color w:val="0070C0"/>
              </w:rPr>
              <w:t>[</w:t>
            </w:r>
            <w:r w:rsidRPr="002518DC">
              <w:rPr>
                <w:noProof/>
                <w:color w:val="0070C0"/>
              </w:rPr>
              <w:t>13</w:t>
            </w:r>
            <w:r>
              <w:rPr>
                <w:noProof/>
                <w:color w:val="0070C0"/>
              </w:rPr>
              <w:t>]</w:t>
            </w:r>
            <w:r w:rsidRPr="00421C30">
              <w:rPr>
                <w:color w:val="0070C0"/>
              </w:rPr>
              <w:fldChar w:fldCharType="end"/>
            </w:r>
          </w:p>
        </w:tc>
      </w:tr>
      <w:tr w:rsidR="002E5A73" w:rsidRPr="00090D5B" w14:paraId="339CEA79" w14:textId="77777777" w:rsidTr="00A15A2B">
        <w:tc>
          <w:tcPr>
            <w:tcW w:w="1844" w:type="pct"/>
          </w:tcPr>
          <w:p w14:paraId="2244D37E" w14:textId="77777777" w:rsidR="002E5A73" w:rsidRPr="00090D5B" w:rsidRDefault="002E5A73" w:rsidP="00A15A2B">
            <w:pPr>
              <w:spacing w:before="36" w:after="36"/>
            </w:pPr>
            <w:r w:rsidRPr="00090D5B">
              <w:t>Maximum number of ventilators</w:t>
            </w:r>
          </w:p>
        </w:tc>
        <w:tc>
          <w:tcPr>
            <w:tcW w:w="500" w:type="pct"/>
          </w:tcPr>
          <w:p w14:paraId="45723CD9" w14:textId="77777777" w:rsidR="002E5A73" w:rsidRPr="00090D5B" w:rsidRDefault="002E5A73" w:rsidP="00A15A2B">
            <w:pPr>
              <w:spacing w:before="36" w:after="36"/>
            </w:pPr>
            <w:r w:rsidRPr="00090D5B">
              <w:t>551</w:t>
            </w:r>
          </w:p>
        </w:tc>
        <w:tc>
          <w:tcPr>
            <w:tcW w:w="579" w:type="pct"/>
          </w:tcPr>
          <w:p w14:paraId="4A9533E3" w14:textId="77777777" w:rsidR="002E5A73" w:rsidRPr="00090D5B" w:rsidRDefault="002E5A73" w:rsidP="00A15A2B">
            <w:pPr>
              <w:spacing w:before="36" w:after="36"/>
            </w:pPr>
            <w:r w:rsidRPr="00090D5B">
              <w:t>ventilators</w:t>
            </w:r>
          </w:p>
        </w:tc>
        <w:tc>
          <w:tcPr>
            <w:tcW w:w="2077" w:type="pct"/>
          </w:tcPr>
          <w:p w14:paraId="58F46A3F" w14:textId="77777777" w:rsidR="002E5A73" w:rsidRPr="00421C30" w:rsidRDefault="002E5A73" w:rsidP="00A15A2B">
            <w:pPr>
              <w:spacing w:before="36" w:after="36"/>
              <w:rPr>
                <w:color w:val="0070C0"/>
              </w:rPr>
            </w:pPr>
            <w:r w:rsidRPr="00421C30">
              <w:rPr>
                <w:color w:val="0070C0"/>
              </w:rPr>
              <w:fldChar w:fldCharType="begin" w:fldLock="1"/>
            </w:r>
            <w:r>
              <w:rPr>
                <w:color w:val="0070C0"/>
              </w:rPr>
              <w:instrText>ADDIN CSL_CITATION {"citationItems":[{"id":"ITEM-1","itemData":{"URL":"http://med.kg/ru/dokumenty/prikazy.html","accessed":{"date-parts":[["2020","8","3"]]},"author":[{"dropping-particle":"","family":"MoH KR","given":"","non-dropping-particle":"","parse-names":false,"suffix":""}],"id":"ITEM-1","issued":{"date-parts":[["2020"]]},"title":"MoH Prikaz #181 on health system preparedness for the COVID-19 epidemic. March 23, 2020","type":"webpage"},"uris":["http://www.mendeley.com/documents/?uuid=90fec0a3-c3fc-33f3-8429-e27f9e9288e8"]}],"mendeley":{"formattedCitation":"(13)","manualFormatting":"[13]","plainTextFormattedCitation":"(13)","previouslyFormattedCitation":"(12)"},"properties":{"noteIndex":0},"schema":"https://github.com/citation-style-language/schema/raw/master/csl-citation.json"}</w:instrText>
            </w:r>
            <w:r w:rsidRPr="00421C30">
              <w:rPr>
                <w:color w:val="0070C0"/>
              </w:rPr>
              <w:fldChar w:fldCharType="separate"/>
            </w:r>
            <w:r>
              <w:rPr>
                <w:color w:val="0070C0"/>
              </w:rPr>
              <w:t>[</w:t>
            </w:r>
            <w:r w:rsidRPr="002518DC">
              <w:rPr>
                <w:noProof/>
                <w:color w:val="0070C0"/>
              </w:rPr>
              <w:t>13</w:t>
            </w:r>
            <w:r>
              <w:rPr>
                <w:noProof/>
                <w:color w:val="0070C0"/>
              </w:rPr>
              <w:t>]</w:t>
            </w:r>
            <w:r w:rsidRPr="00421C30">
              <w:rPr>
                <w:color w:val="0070C0"/>
              </w:rPr>
              <w:fldChar w:fldCharType="end"/>
            </w:r>
          </w:p>
        </w:tc>
      </w:tr>
      <w:tr w:rsidR="002E5A73" w:rsidRPr="00090D5B" w14:paraId="72DFEE22" w14:textId="77777777" w:rsidTr="00A15A2B">
        <w:tc>
          <w:tcPr>
            <w:tcW w:w="1844" w:type="pct"/>
          </w:tcPr>
          <w:p w14:paraId="25DBF9E7" w14:textId="77777777" w:rsidR="002E5A73" w:rsidRPr="00090D5B" w:rsidRDefault="002E5A73" w:rsidP="00A15A2B">
            <w:pPr>
              <w:spacing w:before="36" w:after="36"/>
            </w:pPr>
            <w:r w:rsidRPr="00090D5B">
              <w:t xml:space="preserve">Relative percentage of regular daily contacts when </w:t>
            </w:r>
            <w:proofErr w:type="spellStart"/>
            <w:r w:rsidRPr="00090D5B">
              <w:t>hospitali</w:t>
            </w:r>
            <w:r>
              <w:t>s</w:t>
            </w:r>
            <w:r w:rsidRPr="00090D5B">
              <w:t>ed</w:t>
            </w:r>
            <w:proofErr w:type="spellEnd"/>
            <w:r w:rsidRPr="00090D5B">
              <w:t>:</w:t>
            </w:r>
          </w:p>
        </w:tc>
        <w:tc>
          <w:tcPr>
            <w:tcW w:w="500" w:type="pct"/>
          </w:tcPr>
          <w:p w14:paraId="030ED383" w14:textId="77777777" w:rsidR="002E5A73" w:rsidRPr="00090D5B" w:rsidRDefault="002E5A73" w:rsidP="00A15A2B">
            <w:pPr>
              <w:spacing w:before="36" w:after="36"/>
            </w:pPr>
            <w:r w:rsidRPr="00090D5B">
              <w:t>15</w:t>
            </w:r>
          </w:p>
        </w:tc>
        <w:tc>
          <w:tcPr>
            <w:tcW w:w="579" w:type="pct"/>
          </w:tcPr>
          <w:p w14:paraId="6AD4EBBB" w14:textId="77777777" w:rsidR="002E5A73" w:rsidRPr="00090D5B" w:rsidRDefault="002E5A73" w:rsidP="00A15A2B">
            <w:pPr>
              <w:spacing w:before="36" w:after="36"/>
            </w:pPr>
            <w:r w:rsidRPr="00090D5B">
              <w:t>%</w:t>
            </w:r>
          </w:p>
        </w:tc>
        <w:tc>
          <w:tcPr>
            <w:tcW w:w="2077" w:type="pct"/>
          </w:tcPr>
          <w:p w14:paraId="0564460C" w14:textId="77777777" w:rsidR="002E5A73" w:rsidRPr="00421C30" w:rsidRDefault="002E5A73" w:rsidP="00A15A2B">
            <w:pPr>
              <w:spacing w:before="36" w:after="36"/>
              <w:rPr>
                <w:color w:val="0070C0"/>
              </w:rPr>
            </w:pPr>
            <w:r>
              <w:rPr>
                <w:color w:val="0070C0"/>
              </w:rPr>
              <w:t xml:space="preserve">Estimated in consultation with local clinical hospitals </w:t>
            </w:r>
          </w:p>
        </w:tc>
      </w:tr>
      <w:tr w:rsidR="002E5A73" w:rsidRPr="00090D5B" w14:paraId="4EF9F827" w14:textId="77777777" w:rsidTr="00A15A2B">
        <w:tc>
          <w:tcPr>
            <w:tcW w:w="1844" w:type="pct"/>
            <w:tcBorders>
              <w:bottom w:val="single" w:sz="4" w:space="0" w:color="auto"/>
            </w:tcBorders>
          </w:tcPr>
          <w:p w14:paraId="13BF7BE6" w14:textId="77777777" w:rsidR="002E5A73" w:rsidRPr="00090D5B" w:rsidRDefault="002E5A73" w:rsidP="00A15A2B">
            <w:pPr>
              <w:spacing w:before="36" w:after="36"/>
            </w:pPr>
            <w:r w:rsidRPr="00090D5B">
              <w:t xml:space="preserve">Scaling factor for infection </w:t>
            </w:r>
            <w:proofErr w:type="spellStart"/>
            <w:r w:rsidRPr="00090D5B">
              <w:t>hospitali</w:t>
            </w:r>
            <w:r>
              <w:t>s</w:t>
            </w:r>
            <w:r w:rsidRPr="00090D5B">
              <w:t>ation</w:t>
            </w:r>
            <w:proofErr w:type="spellEnd"/>
            <w:r w:rsidRPr="00090D5B">
              <w:t xml:space="preserve"> rate: (0.5 to 4)</w:t>
            </w:r>
          </w:p>
        </w:tc>
        <w:tc>
          <w:tcPr>
            <w:tcW w:w="500" w:type="pct"/>
            <w:tcBorders>
              <w:bottom w:val="single" w:sz="4" w:space="0" w:color="auto"/>
            </w:tcBorders>
          </w:tcPr>
          <w:p w14:paraId="3400EF9C" w14:textId="77777777" w:rsidR="002E5A73" w:rsidRPr="00090D5B" w:rsidRDefault="002E5A73" w:rsidP="00A15A2B">
            <w:pPr>
              <w:spacing w:before="36" w:after="36"/>
            </w:pPr>
            <w:r w:rsidRPr="00090D5B">
              <w:t>1</w:t>
            </w:r>
          </w:p>
        </w:tc>
        <w:tc>
          <w:tcPr>
            <w:tcW w:w="579" w:type="pct"/>
            <w:tcBorders>
              <w:bottom w:val="single" w:sz="4" w:space="0" w:color="auto"/>
            </w:tcBorders>
          </w:tcPr>
          <w:p w14:paraId="22F51156" w14:textId="77777777" w:rsidR="002E5A73" w:rsidRPr="00090D5B" w:rsidRDefault="002E5A73" w:rsidP="00A15A2B">
            <w:pPr>
              <w:spacing w:before="36" w:after="36"/>
            </w:pPr>
          </w:p>
        </w:tc>
        <w:tc>
          <w:tcPr>
            <w:tcW w:w="2077" w:type="pct"/>
            <w:tcBorders>
              <w:bottom w:val="single" w:sz="4" w:space="0" w:color="auto"/>
            </w:tcBorders>
          </w:tcPr>
          <w:p w14:paraId="2EA6C5AB" w14:textId="77777777" w:rsidR="002E5A73" w:rsidRPr="00421C30" w:rsidRDefault="002E5A73" w:rsidP="00A15A2B">
            <w:pPr>
              <w:spacing w:before="36" w:after="36"/>
              <w:rPr>
                <w:color w:val="0070C0"/>
              </w:rPr>
            </w:pPr>
            <w:r>
              <w:rPr>
                <w:color w:val="0070C0"/>
              </w:rPr>
              <w:t xml:space="preserve">NA </w:t>
            </w:r>
            <w:r w:rsidRPr="00FE3FEF">
              <w:rPr>
                <w:color w:val="0070C0"/>
              </w:rPr>
              <w:t>(disabled parameter)</w:t>
            </w:r>
            <w:r>
              <w:rPr>
                <w:color w:val="0070C0"/>
              </w:rPr>
              <w:t xml:space="preserve"> </w:t>
            </w:r>
          </w:p>
        </w:tc>
      </w:tr>
      <w:tr w:rsidR="002E5A73" w:rsidRPr="00090D5B" w14:paraId="07D5293C"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66B1D17F" w14:textId="77777777" w:rsidR="002E5A73" w:rsidRPr="00090D5B" w:rsidRDefault="002E5A73" w:rsidP="00A15A2B">
            <w:pPr>
              <w:spacing w:before="36" w:after="36"/>
            </w:pPr>
            <w:r w:rsidRPr="00090D5B">
              <w:t xml:space="preserve">Probability of dying when </w:t>
            </w:r>
            <w:proofErr w:type="spellStart"/>
            <w:r w:rsidRPr="00090D5B">
              <w:t>hospitali</w:t>
            </w:r>
            <w:r>
              <w:t>s</w:t>
            </w:r>
            <w:r w:rsidRPr="00090D5B">
              <w:t>ed</w:t>
            </w:r>
            <w:proofErr w:type="spellEnd"/>
            <w:r w:rsidRPr="00090D5B">
              <w:t xml:space="preserve"> (not req</w:t>
            </w:r>
            <w:r>
              <w:t>uiring 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EBEF377" w14:textId="77777777" w:rsidR="002E5A73" w:rsidRPr="00090D5B" w:rsidRDefault="002E5A73" w:rsidP="00A15A2B">
            <w:pPr>
              <w:spacing w:before="36" w:after="36"/>
            </w:pPr>
            <w:r w:rsidRPr="00090D5B">
              <w:t>5</w:t>
            </w:r>
          </w:p>
        </w:tc>
        <w:tc>
          <w:tcPr>
            <w:tcW w:w="579" w:type="pct"/>
            <w:tcBorders>
              <w:top w:val="single" w:sz="4" w:space="0" w:color="auto"/>
              <w:left w:val="single" w:sz="4" w:space="0" w:color="auto"/>
              <w:bottom w:val="single" w:sz="4" w:space="0" w:color="auto"/>
              <w:right w:val="single" w:sz="4" w:space="0" w:color="auto"/>
            </w:tcBorders>
          </w:tcPr>
          <w:p w14:paraId="0E8EFF84"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1EED11EB" w14:textId="77777777" w:rsidR="002E5A73" w:rsidRPr="00421C30" w:rsidRDefault="002E5A73" w:rsidP="00A15A2B">
            <w:pPr>
              <w:spacing w:before="36" w:after="36"/>
              <w:rPr>
                <w:color w:val="0070C0"/>
              </w:rPr>
            </w:pPr>
            <w:r>
              <w:rPr>
                <w:color w:val="0070C0"/>
              </w:rPr>
              <w:t xml:space="preserve">Estimated in consultation with </w:t>
            </w:r>
            <w:proofErr w:type="spellStart"/>
            <w:r>
              <w:rPr>
                <w:color w:val="0070C0"/>
              </w:rPr>
              <w:t>MoH</w:t>
            </w:r>
            <w:proofErr w:type="spellEnd"/>
            <w:r>
              <w:rPr>
                <w:color w:val="0070C0"/>
              </w:rPr>
              <w:t>, local clinical hospitals</w:t>
            </w:r>
          </w:p>
        </w:tc>
      </w:tr>
      <w:tr w:rsidR="002E5A73" w:rsidRPr="00090D5B" w14:paraId="06510732"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179B9381" w14:textId="77777777" w:rsidR="002E5A73" w:rsidRPr="00090D5B" w:rsidRDefault="002E5A73" w:rsidP="00A15A2B">
            <w:pPr>
              <w:spacing w:before="36" w:after="36"/>
            </w:pPr>
            <w:r w:rsidRPr="00090D5B">
              <w:t xml:space="preserve">Probability of dying when </w:t>
            </w:r>
            <w:proofErr w:type="spellStart"/>
            <w:r w:rsidRPr="00090D5B">
              <w:t>hospitali</w:t>
            </w:r>
            <w:r>
              <w:t>s</w:t>
            </w:r>
            <w:r w:rsidRPr="00090D5B">
              <w:t>ed</w:t>
            </w:r>
            <w:proofErr w:type="spellEnd"/>
            <w:r w:rsidRPr="00090D5B">
              <w:t xml:space="preserve"> if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67671E3" w14:textId="77777777" w:rsidR="002E5A73" w:rsidRPr="00090D5B" w:rsidRDefault="002E5A73" w:rsidP="00A15A2B">
            <w:pPr>
              <w:spacing w:before="36" w:after="36"/>
            </w:pPr>
            <w:r>
              <w:t>15</w:t>
            </w:r>
          </w:p>
        </w:tc>
        <w:tc>
          <w:tcPr>
            <w:tcW w:w="579" w:type="pct"/>
            <w:tcBorders>
              <w:top w:val="single" w:sz="4" w:space="0" w:color="auto"/>
              <w:left w:val="single" w:sz="4" w:space="0" w:color="auto"/>
              <w:bottom w:val="single" w:sz="4" w:space="0" w:color="auto"/>
              <w:right w:val="single" w:sz="4" w:space="0" w:color="auto"/>
            </w:tcBorders>
          </w:tcPr>
          <w:p w14:paraId="48FBE9E1"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03484378"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p>
        </w:tc>
      </w:tr>
      <w:tr w:rsidR="002E5A73" w:rsidRPr="00090D5B" w14:paraId="10173D8B"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6D8DD045" w14:textId="77777777" w:rsidR="002E5A73" w:rsidRPr="00090D5B" w:rsidRDefault="002E5A73" w:rsidP="00A15A2B">
            <w:pPr>
              <w:spacing w:before="36" w:after="36"/>
            </w:pPr>
            <w:r w:rsidRPr="00090D5B">
              <w:t xml:space="preserve">Probability of dying when denied </w:t>
            </w:r>
            <w:proofErr w:type="spellStart"/>
            <w:r w:rsidRPr="00090D5B">
              <w:t>hospitali</w:t>
            </w:r>
            <w:r>
              <w:t>s</w:t>
            </w:r>
            <w:r w:rsidRPr="00090D5B">
              <w:t>ation</w:t>
            </w:r>
            <w:proofErr w:type="spellEnd"/>
            <w:r w:rsidRPr="00090D5B">
              <w:t xml:space="preserve"> (not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47BE65B" w14:textId="77777777" w:rsidR="002E5A73" w:rsidRPr="00090D5B" w:rsidRDefault="002E5A73" w:rsidP="00A15A2B">
            <w:pPr>
              <w:spacing w:before="36" w:after="36"/>
            </w:pPr>
            <w:r>
              <w:t>20</w:t>
            </w:r>
          </w:p>
        </w:tc>
        <w:tc>
          <w:tcPr>
            <w:tcW w:w="579" w:type="pct"/>
            <w:tcBorders>
              <w:top w:val="single" w:sz="4" w:space="0" w:color="auto"/>
              <w:left w:val="single" w:sz="4" w:space="0" w:color="auto"/>
              <w:bottom w:val="single" w:sz="4" w:space="0" w:color="auto"/>
              <w:right w:val="single" w:sz="4" w:space="0" w:color="auto"/>
            </w:tcBorders>
          </w:tcPr>
          <w:p w14:paraId="5041395A"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71421B1E"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p>
        </w:tc>
      </w:tr>
      <w:tr w:rsidR="002E5A73" w:rsidRPr="00090D5B" w14:paraId="1CF0477E"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66A0C9D9" w14:textId="77777777" w:rsidR="002E5A73" w:rsidRPr="00090D5B" w:rsidRDefault="002E5A73" w:rsidP="00A15A2B">
            <w:pPr>
              <w:spacing w:before="36" w:after="36"/>
            </w:pPr>
            <w:r w:rsidRPr="00090D5B">
              <w:t xml:space="preserve">Probability of dying when denied </w:t>
            </w:r>
            <w:proofErr w:type="spellStart"/>
            <w:r w:rsidRPr="00090D5B">
              <w:t>hospitali</w:t>
            </w:r>
            <w:r>
              <w:t>s</w:t>
            </w:r>
            <w:r w:rsidRPr="00090D5B">
              <w:t>ation</w:t>
            </w:r>
            <w:proofErr w:type="spellEnd"/>
            <w:r w:rsidRPr="00090D5B">
              <w:t xml:space="preserve"> if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16C6731" w14:textId="77777777" w:rsidR="002E5A73" w:rsidRPr="00090D5B" w:rsidRDefault="002E5A73" w:rsidP="00A15A2B">
            <w:pPr>
              <w:spacing w:before="36" w:after="36"/>
            </w:pPr>
            <w:r w:rsidRPr="00090D5B">
              <w:t>40</w:t>
            </w:r>
          </w:p>
        </w:tc>
        <w:tc>
          <w:tcPr>
            <w:tcW w:w="579" w:type="pct"/>
            <w:tcBorders>
              <w:top w:val="single" w:sz="4" w:space="0" w:color="auto"/>
              <w:left w:val="single" w:sz="4" w:space="0" w:color="auto"/>
              <w:bottom w:val="single" w:sz="4" w:space="0" w:color="auto"/>
              <w:right w:val="single" w:sz="4" w:space="0" w:color="auto"/>
            </w:tcBorders>
          </w:tcPr>
          <w:p w14:paraId="76BFA913"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31C63BC8"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p>
        </w:tc>
      </w:tr>
      <w:tr w:rsidR="002E5A73" w:rsidRPr="00090D5B" w14:paraId="7B28C417"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48F36C76" w14:textId="77777777" w:rsidR="002E5A73" w:rsidRPr="00090D5B" w:rsidRDefault="002E5A73" w:rsidP="00A15A2B">
            <w:pPr>
              <w:spacing w:before="36" w:after="36"/>
            </w:pPr>
            <w:r w:rsidRPr="00090D5B">
              <w:t>Probability of dying when admitted to ICU (not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D94D3D8" w14:textId="77777777" w:rsidR="002E5A73" w:rsidRPr="00090D5B" w:rsidRDefault="002E5A73" w:rsidP="00A15A2B">
            <w:pPr>
              <w:spacing w:before="36" w:after="36"/>
            </w:pPr>
            <w:r w:rsidRPr="00090D5B">
              <w:t>30</w:t>
            </w:r>
          </w:p>
        </w:tc>
        <w:tc>
          <w:tcPr>
            <w:tcW w:w="579" w:type="pct"/>
            <w:tcBorders>
              <w:top w:val="single" w:sz="4" w:space="0" w:color="auto"/>
              <w:left w:val="single" w:sz="4" w:space="0" w:color="auto"/>
              <w:bottom w:val="single" w:sz="4" w:space="0" w:color="auto"/>
              <w:right w:val="single" w:sz="4" w:space="0" w:color="auto"/>
            </w:tcBorders>
          </w:tcPr>
          <w:p w14:paraId="118FCB4E"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54772DE6"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r>
              <w:rPr>
                <w:color w:val="0070C0"/>
              </w:rPr>
              <w:t xml:space="preserve"> and based on: </w:t>
            </w:r>
            <w:r>
              <w:rPr>
                <w:color w:val="0070C0"/>
              </w:rPr>
              <w:fldChar w:fldCharType="begin" w:fldLock="1"/>
            </w:r>
            <w:r>
              <w:rPr>
                <w:color w:val="0070C0"/>
              </w:rPr>
              <w:instrText>ADDIN CSL_CITATION {"citationItems":[{"id":"ITEM-1","itemData":{"DOI":"10.1101/2020.04.08.20057794","ISBN":"0000000318006","abstract":"Background: Little is known about factors associated with hospitalization and critical illness in Covid-19 positive patients. Methods: We conducted a cross-sectional analysis of all patients with laboratory-confirmed Covid-19 treated at a single academic health system in New York City between March 1, 2020 and April 2, 2020, with follow up through April 7, 2020. Primary outcomes were hospitalization and critical illness (intensive care, mechanical ventilation, hospice and/or death). We conducted multivariable logistic regression to identify risk factors for adverse outcomes, and maximum information gain decision tree classifications to identify key splitters. Results: Among 4,103 Covid-19 patients, 1,999 (48.7%) were hospitalized, of whom 981/1,999 (49.1%) have been discharged home, and 292/1,999 (14.6%) have died or were discharged to hospice. Of 445 patients requiring mechanical ventilation, 162/445 (36.4%) have died. Strongest hospitalization risks were age ≥75 years (OR 66.8, 95% CI, 44.7-102.6), age 65-74 (OR 10.9, 95% CI, 8.35-14.34), BMI&gt;40 (OR 6.2, 95% CI, 4.2-9.3), and heart failure (OR 4.3 95% CI, 1.9-11.2). Strongest critical illness risks were admission oxygen saturation &lt;88% (OR 6.99, 95% CI 4.5-11.0), d-dimer&gt;2500 (OR 6.9, 95% CI, 3.2-15.2), ferritin &gt;2500 (OR 6.9, 95% CI, 3.2-15.2), and C-reactive protein (CRP) &gt;200 (OR 5.78, 95% CI, 2.6-13.8). In the decision tree for admission, the most important features were age &gt;65 and obesity; for critical illness, the most important was SpO2&lt;88, followed by procalcitonin &gt;0.5, troponin &lt;0.1 (protective), age &gt;64 and CRP&gt;200. Conclusions: Age and comorbidities are powerful predictors of hospitalization; however, admission oxygen impairment and markers of inflammation are most strongly associated with critical illness. ### Competing Interest Statement The authors have declared no competing interest. ### Funding Statement This work was funded in part by the Kenneth C. Griffin Charitable Fund, which had no role in the study design; in the collection, analysis, and interpretation of data; in the writing of the report; or in the decision to submit the article for publication.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arc…","author":[{"dropping-particle":"","family":"Petrilli","given":"Christopher M","non-dropping-particle":"","parse-names":false,"suffix":""},{"dropping-particle":"","family":"Jones","given":"Simon A","non-dropping-particle":"","parse-names":false,"suffix":""},{"dropping-particle":"","family":"Yang","given":"Jie","non-dropping-particle":"","parse-names":false,"suffix":""},{"dropping-particle":"","family":"Rajagopalan","given":"Harish","non-dropping-particle":"","parse-names":false,"suffix":""},{"dropping-particle":"","family":"O'Donnell","given":"Luke F.","non-dropping-particle":"","parse-names":false,"suffix":""},{"dropping-particle":"","family":"Chernyak","given":"Yelena","non-dropping-particle":"","parse-names":false,"suffix":""},{"dropping-particle":"","family":"Tobin","given":"Katie","non-dropping-particle":"","parse-names":false,"suffix":""},{"dropping-particle":"","family":"Cerfolio","given":"Robert J","non-dropping-particle":"","parse-names":false,"suffix":""},{"dropping-particle":"","family":"Francois","given":"Fritz","non-dropping-particle":"","parse-names":false,"suffix":""},{"dropping-particle":"","family":"Horwitz","given":"Leora I","non-dropping-particle":"","parse-names":false,"suffix":""}],"container-title":"medRxiv","id":"ITEM-1","issued":{"date-parts":[["2020","4","11"]]},"page":"2020.04.08.20057794","publisher":"Cold Spring Harbor Laboratory Press","title":"Factors associated with hospitalization and critical illness among 4,103 patients with COVID-19 disease in New York City","type":"article-journal"},"uris":["http://www.mendeley.com/documents/?uuid=1d979ada-1f04-32b7-86d3-ed54466a7109"]}],"mendeley":{"formattedCitation":"(31)","plainTextFormattedCitation":"(31)","previouslyFormattedCitation":"(30)"},"properties":{"noteIndex":0},"schema":"https://github.com/citation-style-language/schema/raw/master/csl-citation.json"}</w:instrText>
            </w:r>
            <w:r>
              <w:rPr>
                <w:color w:val="0070C0"/>
              </w:rPr>
              <w:fldChar w:fldCharType="separate"/>
            </w:r>
            <w:r w:rsidRPr="002518DC">
              <w:rPr>
                <w:noProof/>
                <w:color w:val="0070C0"/>
              </w:rPr>
              <w:t>(31)</w:t>
            </w:r>
            <w:r>
              <w:rPr>
                <w:color w:val="0070C0"/>
              </w:rPr>
              <w:fldChar w:fldCharType="end"/>
            </w:r>
          </w:p>
        </w:tc>
      </w:tr>
      <w:tr w:rsidR="002E5A73" w:rsidRPr="00090D5B" w14:paraId="3919D59F"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65F7AA01" w14:textId="77777777" w:rsidR="002E5A73" w:rsidRPr="00090D5B" w:rsidRDefault="002E5A73" w:rsidP="00A15A2B">
            <w:pPr>
              <w:spacing w:before="36" w:after="36"/>
            </w:pPr>
            <w:r w:rsidRPr="00090D5B">
              <w:t>Probability of dying when admitted to ICU if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941C7BF" w14:textId="77777777" w:rsidR="002E5A73" w:rsidRPr="00090D5B" w:rsidRDefault="002E5A73" w:rsidP="00A15A2B">
            <w:pPr>
              <w:spacing w:before="36" w:after="36"/>
            </w:pPr>
            <w:r w:rsidRPr="00090D5B">
              <w:t>55</w:t>
            </w:r>
          </w:p>
        </w:tc>
        <w:tc>
          <w:tcPr>
            <w:tcW w:w="579" w:type="pct"/>
            <w:tcBorders>
              <w:top w:val="single" w:sz="4" w:space="0" w:color="auto"/>
              <w:left w:val="single" w:sz="4" w:space="0" w:color="auto"/>
              <w:bottom w:val="single" w:sz="4" w:space="0" w:color="auto"/>
              <w:right w:val="single" w:sz="4" w:space="0" w:color="auto"/>
            </w:tcBorders>
          </w:tcPr>
          <w:p w14:paraId="1B98CCFF"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4FFD079C"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r>
              <w:rPr>
                <w:color w:val="0070C0"/>
              </w:rPr>
              <w:t xml:space="preserve"> and based on: </w:t>
            </w:r>
            <w:r>
              <w:rPr>
                <w:color w:val="0070C0"/>
              </w:rPr>
              <w:fldChar w:fldCharType="begin" w:fldLock="1"/>
            </w:r>
            <w:r>
              <w:rPr>
                <w:color w:val="0070C0"/>
              </w:rPr>
              <w:instrText>ADDIN CSL_CITATION {"citationItems":[{"id":"ITEM-1","itemData":{"DOI":"10.1101/2020.04.08.20057794","ISBN":"0000000318006","abstract":"Background: Little is known about factors associated with hospitalization and critical illness in Covid-19 positive patients. Methods: We conducted a cross-sectional analysis of all patients with laboratory-confirmed Covid-19 treated at a single academic health system in New York City between March 1, 2020 and April 2, 2020, with follow up through April 7, 2020. Primary outcomes were hospitalization and critical illness (intensive care, mechanical ventilation, hospice and/or death). We conducted multivariable logistic regression to identify risk factors for adverse outcomes, and maximum information gain decision tree classifications to identify key splitters. Results: Among 4,103 Covid-19 patients, 1,999 (48.7%) were hospitalized, of whom 981/1,999 (49.1%) have been discharged home, and 292/1,999 (14.6%) have died or were discharged to hospice. Of 445 patients requiring mechanical ventilation, 162/445 (36.4%) have died. Strongest hospitalization risks were age ≥75 years (OR 66.8, 95% CI, 44.7-102.6), age 65-74 (OR 10.9, 95% CI, 8.35-14.34), BMI&gt;40 (OR 6.2, 95% CI, 4.2-9.3), and heart failure (OR 4.3 95% CI, 1.9-11.2). Strongest critical illness risks were admission oxygen saturation &lt;88% (OR 6.99, 95% CI 4.5-11.0), d-dimer&gt;2500 (OR 6.9, 95% CI, 3.2-15.2), ferritin &gt;2500 (OR 6.9, 95% CI, 3.2-15.2), and C-reactive protein (CRP) &gt;200 (OR 5.78, 95% CI, 2.6-13.8). In the decision tree for admission, the most important features were age &gt;65 and obesity; for critical illness, the most important was SpO2&lt;88, followed by procalcitonin &gt;0.5, troponin &lt;0.1 (protective), age &gt;64 and CRP&gt;200. Conclusions: Age and comorbidities are powerful predictors of hospitalization; however, admission oxygen impairment and markers of inflammation are most strongly associated with critical illness. ### Competing Interest Statement The authors have declared no competing interest. ### Funding Statement This work was funded in part by the Kenneth C. Griffin Charitable Fund, which had no role in the study design; in the collection, analysis, and interpretation of data; in the writing of the report; or in the decision to submit the article for publication.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arc…","author":[{"dropping-particle":"","family":"Petrilli","given":"Christopher M","non-dropping-particle":"","parse-names":false,"suffix":""},{"dropping-particle":"","family":"Jones","given":"Simon A","non-dropping-particle":"","parse-names":false,"suffix":""},{"dropping-particle":"","family":"Yang","given":"Jie","non-dropping-particle":"","parse-names":false,"suffix":""},{"dropping-particle":"","family":"Rajagopalan","given":"Harish","non-dropping-particle":"","parse-names":false,"suffix":""},{"dropping-particle":"","family":"O'Donnell","given":"Luke F.","non-dropping-particle":"","parse-names":false,"suffix":""},{"dropping-particle":"","family":"Chernyak","given":"Yelena","non-dropping-particle":"","parse-names":false,"suffix":""},{"dropping-particle":"","family":"Tobin","given":"Katie","non-dropping-particle":"","parse-names":false,"suffix":""},{"dropping-particle":"","family":"Cerfolio","given":"Robert J","non-dropping-particle":"","parse-names":false,"suffix":""},{"dropping-particle":"","family":"Francois","given":"Fritz","non-dropping-particle":"","parse-names":false,"suffix":""},{"dropping-particle":"","family":"Horwitz","given":"Leora I","non-dropping-particle":"","parse-names":false,"suffix":""}],"container-title":"medRxiv","id":"ITEM-1","issued":{"date-parts":[["2020","4","11"]]},"page":"2020.04.08.20057794","publisher":"Cold Spring Harbor Laboratory Press","title":"Factors associated with hospitalization and critical illness among 4,103 patients with COVID-19 disease in New York City","type":"article-journal"},"uris":["http://www.mendeley.com/documents/?uuid=1d979ada-1f04-32b7-86d3-ed54466a7109"]}],"mendeley":{"formattedCitation":"(31)","plainTextFormattedCitation":"(31)","previouslyFormattedCitation":"(30)"},"properties":{"noteIndex":0},"schema":"https://github.com/citation-style-language/schema/raw/master/csl-citation.json"}</w:instrText>
            </w:r>
            <w:r>
              <w:rPr>
                <w:color w:val="0070C0"/>
              </w:rPr>
              <w:fldChar w:fldCharType="separate"/>
            </w:r>
            <w:r w:rsidRPr="002518DC">
              <w:rPr>
                <w:noProof/>
                <w:color w:val="0070C0"/>
              </w:rPr>
              <w:t>(31)</w:t>
            </w:r>
            <w:r>
              <w:rPr>
                <w:color w:val="0070C0"/>
              </w:rPr>
              <w:fldChar w:fldCharType="end"/>
            </w:r>
          </w:p>
        </w:tc>
      </w:tr>
      <w:tr w:rsidR="002E5A73" w:rsidRPr="00090D5B" w14:paraId="7730342A"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2F250875" w14:textId="77777777" w:rsidR="002E5A73" w:rsidRPr="00090D5B" w:rsidRDefault="002E5A73" w:rsidP="00A15A2B">
            <w:pPr>
              <w:spacing w:before="36" w:after="36"/>
            </w:pPr>
            <w:r w:rsidRPr="00090D5B">
              <w:t>Probability of dying when admission to ICU denied (not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AC24639" w14:textId="77777777" w:rsidR="002E5A73" w:rsidRPr="00090D5B" w:rsidRDefault="002E5A73" w:rsidP="00A15A2B">
            <w:pPr>
              <w:spacing w:before="36" w:after="36"/>
            </w:pPr>
            <w:r w:rsidRPr="00090D5B">
              <w:t>70</w:t>
            </w:r>
          </w:p>
        </w:tc>
        <w:tc>
          <w:tcPr>
            <w:tcW w:w="579" w:type="pct"/>
            <w:tcBorders>
              <w:top w:val="single" w:sz="4" w:space="0" w:color="auto"/>
              <w:left w:val="single" w:sz="4" w:space="0" w:color="auto"/>
              <w:bottom w:val="single" w:sz="4" w:space="0" w:color="auto"/>
              <w:right w:val="single" w:sz="4" w:space="0" w:color="auto"/>
            </w:tcBorders>
          </w:tcPr>
          <w:p w14:paraId="4A0CCAC1"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67CB23FB"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r>
              <w:rPr>
                <w:color w:val="0070C0"/>
              </w:rPr>
              <w:t xml:space="preserve"> </w:t>
            </w:r>
          </w:p>
        </w:tc>
      </w:tr>
      <w:tr w:rsidR="002E5A73" w:rsidRPr="00090D5B" w14:paraId="159866E4" w14:textId="77777777" w:rsidTr="00A15A2B">
        <w:tc>
          <w:tcPr>
            <w:tcW w:w="1844" w:type="pct"/>
            <w:tcBorders>
              <w:top w:val="single" w:sz="4" w:space="0" w:color="auto"/>
              <w:left w:val="single" w:sz="4" w:space="0" w:color="auto"/>
              <w:bottom w:val="single" w:sz="4" w:space="0" w:color="auto"/>
              <w:right w:val="single" w:sz="4" w:space="0" w:color="auto"/>
            </w:tcBorders>
            <w:shd w:val="clear" w:color="auto" w:fill="auto"/>
          </w:tcPr>
          <w:p w14:paraId="0F4E2340" w14:textId="77777777" w:rsidR="002E5A73" w:rsidRPr="00090D5B" w:rsidRDefault="002E5A73" w:rsidP="00A15A2B">
            <w:pPr>
              <w:spacing w:before="36" w:after="36"/>
            </w:pPr>
            <w:r w:rsidRPr="00090D5B">
              <w:t>Probability of dying when admission to ICU denied if req</w:t>
            </w:r>
            <w:r>
              <w:t>uiring</w:t>
            </w:r>
            <w:r w:rsidRPr="00090D5B">
              <w:t xml:space="preserve"> </w:t>
            </w:r>
            <w:r>
              <w:t>o</w:t>
            </w:r>
            <w:r w:rsidRPr="00090D5B">
              <w:t>xygen:</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3AB089F" w14:textId="77777777" w:rsidR="002E5A73" w:rsidRPr="00090D5B" w:rsidRDefault="002E5A73" w:rsidP="00A15A2B">
            <w:pPr>
              <w:spacing w:before="36" w:after="36"/>
            </w:pPr>
            <w:r w:rsidRPr="00090D5B">
              <w:t>75</w:t>
            </w:r>
          </w:p>
        </w:tc>
        <w:tc>
          <w:tcPr>
            <w:tcW w:w="579" w:type="pct"/>
            <w:tcBorders>
              <w:top w:val="single" w:sz="4" w:space="0" w:color="auto"/>
              <w:left w:val="single" w:sz="4" w:space="0" w:color="auto"/>
              <w:bottom w:val="single" w:sz="4" w:space="0" w:color="auto"/>
              <w:right w:val="single" w:sz="4" w:space="0" w:color="auto"/>
            </w:tcBorders>
          </w:tcPr>
          <w:p w14:paraId="13768259"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447347DB"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r>
              <w:rPr>
                <w:color w:val="0070C0"/>
              </w:rPr>
              <w:t xml:space="preserve"> </w:t>
            </w:r>
          </w:p>
        </w:tc>
      </w:tr>
      <w:tr w:rsidR="002E5A73" w:rsidRPr="00090D5B" w14:paraId="271876CE" w14:textId="77777777" w:rsidTr="00A15A2B">
        <w:trPr>
          <w:trHeight w:val="515"/>
        </w:trPr>
        <w:tc>
          <w:tcPr>
            <w:tcW w:w="1844" w:type="pct"/>
            <w:tcBorders>
              <w:top w:val="single" w:sz="4" w:space="0" w:color="auto"/>
              <w:left w:val="single" w:sz="4" w:space="0" w:color="auto"/>
              <w:bottom w:val="single" w:sz="4" w:space="0" w:color="auto"/>
              <w:right w:val="single" w:sz="4" w:space="0" w:color="auto"/>
            </w:tcBorders>
            <w:shd w:val="clear" w:color="auto" w:fill="auto"/>
          </w:tcPr>
          <w:p w14:paraId="12AFF380" w14:textId="77777777" w:rsidR="002E5A73" w:rsidRPr="00090D5B" w:rsidRDefault="002E5A73" w:rsidP="00A15A2B">
            <w:pPr>
              <w:spacing w:before="36" w:after="36"/>
            </w:pPr>
            <w:r w:rsidRPr="00090D5B">
              <w:t xml:space="preserve">Probability of dying when ventilated: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1D3199" w14:textId="77777777" w:rsidR="002E5A73" w:rsidRPr="00090D5B" w:rsidRDefault="002E5A73" w:rsidP="00A15A2B">
            <w:pPr>
              <w:spacing w:before="36" w:after="36"/>
            </w:pPr>
            <w:r w:rsidRPr="00090D5B">
              <w:t>70</w:t>
            </w:r>
          </w:p>
        </w:tc>
        <w:tc>
          <w:tcPr>
            <w:tcW w:w="579" w:type="pct"/>
            <w:tcBorders>
              <w:top w:val="single" w:sz="4" w:space="0" w:color="auto"/>
              <w:left w:val="single" w:sz="4" w:space="0" w:color="auto"/>
              <w:bottom w:val="single" w:sz="4" w:space="0" w:color="auto"/>
              <w:right w:val="single" w:sz="4" w:space="0" w:color="auto"/>
            </w:tcBorders>
          </w:tcPr>
          <w:p w14:paraId="1204619F"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4D21DC97"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r>
              <w:rPr>
                <w:color w:val="0070C0"/>
              </w:rPr>
              <w:t xml:space="preserve"> and based on: </w:t>
            </w:r>
            <w:r>
              <w:rPr>
                <w:color w:val="0070C0"/>
              </w:rPr>
              <w:fldChar w:fldCharType="begin" w:fldLock="1"/>
            </w:r>
            <w:r>
              <w:rPr>
                <w:color w:val="0070C0"/>
              </w:rPr>
              <w:instrText>ADDIN CSL_CITATION {"citationItems":[{"id":"ITEM-1","itemData":{"DOI":"10.1101/2020.04.08.20057794","ISBN":"0000000318006","abstract":"Background: Little is known about factors associated with hospitalization and critical illness in Covid-19 positive patients. Methods: We conducted a cross-sectional analysis of all patients with laboratory-confirmed Covid-19 treated at a single academic health system in New York City between March 1, 2020 and April 2, 2020, with follow up through April 7, 2020. Primary outcomes were hospitalization and critical illness (intensive care, mechanical ventilation, hospice and/or death). We conducted multivariable logistic regression to identify risk factors for adverse outcomes, and maximum information gain decision tree classifications to identify key splitters. Results: Among 4,103 Covid-19 patients, 1,999 (48.7%) were hospitalized, of whom 981/1,999 (49.1%) have been discharged home, and 292/1,999 (14.6%) have died or were discharged to hospice. Of 445 patients requiring mechanical ventilation, 162/445 (36.4%) have died. Strongest hospitalization risks were age ≥75 years (OR 66.8, 95% CI, 44.7-102.6), age 65-74 (OR 10.9, 95% CI, 8.35-14.34), BMI&gt;40 (OR 6.2, 95% CI, 4.2-9.3), and heart failure (OR 4.3 95% CI, 1.9-11.2). Strongest critical illness risks were admission oxygen saturation &lt;88% (OR 6.99, 95% CI 4.5-11.0), d-dimer&gt;2500 (OR 6.9, 95% CI, 3.2-15.2), ferritin &gt;2500 (OR 6.9, 95% CI, 3.2-15.2), and C-reactive protein (CRP) &gt;200 (OR 5.78, 95% CI, 2.6-13.8). In the decision tree for admission, the most important features were age &gt;65 and obesity; for critical illness, the most important was SpO2&lt;88, followed by procalcitonin &gt;0.5, troponin &lt;0.1 (protective), age &gt;64 and CRP&gt;200. Conclusions: Age and comorbidities are powerful predictors of hospitalization; however, admission oxygen impairment and markers of inflammation are most strongly associated with critical illness. ### Competing Interest Statement The authors have declared no competing interest. ### Funding Statement This work was funded in part by the Kenneth C. Griffin Charitable Fund, which had no role in the study design; in the collection, analysis, and interpretation of data; in the writing of the report; or in the decision to submit the article for publication.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arc…","author":[{"dropping-particle":"","family":"Petrilli","given":"Christopher M","non-dropping-particle":"","parse-names":false,"suffix":""},{"dropping-particle":"","family":"Jones","given":"Simon A","non-dropping-particle":"","parse-names":false,"suffix":""},{"dropping-particle":"","family":"Yang","given":"Jie","non-dropping-particle":"","parse-names":false,"suffix":""},{"dropping-particle":"","family":"Rajagopalan","given":"Harish","non-dropping-particle":"","parse-names":false,"suffix":""},{"dropping-particle":"","family":"O'Donnell","given":"Luke F.","non-dropping-particle":"","parse-names":false,"suffix":""},{"dropping-particle":"","family":"Chernyak","given":"Yelena","non-dropping-particle":"","parse-names":false,"suffix":""},{"dropping-particle":"","family":"Tobin","given":"Katie","non-dropping-particle":"","parse-names":false,"suffix":""},{"dropping-particle":"","family":"Cerfolio","given":"Robert J","non-dropping-particle":"","parse-names":false,"suffix":""},{"dropping-particle":"","family":"Francois","given":"Fritz","non-dropping-particle":"","parse-names":false,"suffix":""},{"dropping-particle":"","family":"Horwitz","given":"Leora I","non-dropping-particle":"","parse-names":false,"suffix":""}],"container-title":"medRxiv","id":"ITEM-1","issued":{"date-parts":[["2020","4","11"]]},"page":"2020.04.08.20057794","publisher":"Cold Spring Harbor Laboratory Press","title":"Factors associated with hospitalization and critical illness among 4,103 patients with COVID-19 disease in New York City","type":"article-journal"},"uris":["http://www.mendeley.com/documents/?uuid=1d979ada-1f04-32b7-86d3-ed54466a7109"]}],"mendeley":{"formattedCitation":"(31)","plainTextFormattedCitation":"(31)","previouslyFormattedCitation":"(30)"},"properties":{"noteIndex":0},"schema":"https://github.com/citation-style-language/schema/raw/master/csl-citation.json"}</w:instrText>
            </w:r>
            <w:r>
              <w:rPr>
                <w:color w:val="0070C0"/>
              </w:rPr>
              <w:fldChar w:fldCharType="separate"/>
            </w:r>
            <w:r w:rsidRPr="002518DC">
              <w:rPr>
                <w:noProof/>
                <w:color w:val="0070C0"/>
              </w:rPr>
              <w:t>(31)</w:t>
            </w:r>
            <w:r>
              <w:rPr>
                <w:color w:val="0070C0"/>
              </w:rPr>
              <w:fldChar w:fldCharType="end"/>
            </w:r>
          </w:p>
        </w:tc>
      </w:tr>
      <w:tr w:rsidR="002E5A73" w:rsidRPr="00090D5B" w14:paraId="473BF0D4" w14:textId="77777777" w:rsidTr="00A15A2B">
        <w:trPr>
          <w:trHeight w:val="423"/>
        </w:trPr>
        <w:tc>
          <w:tcPr>
            <w:tcW w:w="1844" w:type="pct"/>
            <w:tcBorders>
              <w:top w:val="single" w:sz="4" w:space="0" w:color="auto"/>
              <w:left w:val="single" w:sz="4" w:space="0" w:color="auto"/>
              <w:bottom w:val="single" w:sz="4" w:space="0" w:color="auto"/>
              <w:right w:val="single" w:sz="4" w:space="0" w:color="auto"/>
            </w:tcBorders>
            <w:shd w:val="clear" w:color="auto" w:fill="auto"/>
          </w:tcPr>
          <w:p w14:paraId="70929087" w14:textId="77777777" w:rsidR="002E5A73" w:rsidRPr="00090D5B" w:rsidRDefault="002E5A73" w:rsidP="00A15A2B">
            <w:pPr>
              <w:spacing w:before="36" w:after="36"/>
            </w:pPr>
            <w:r w:rsidRPr="00090D5B">
              <w:t>Probability of dying when ventilator denied:</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1BF8720" w14:textId="77777777" w:rsidR="002E5A73" w:rsidRPr="00090D5B" w:rsidRDefault="002E5A73" w:rsidP="00A15A2B">
            <w:pPr>
              <w:spacing w:before="36" w:after="36"/>
            </w:pPr>
            <w:r w:rsidRPr="00090D5B">
              <w:t>95</w:t>
            </w:r>
          </w:p>
        </w:tc>
        <w:tc>
          <w:tcPr>
            <w:tcW w:w="579" w:type="pct"/>
            <w:tcBorders>
              <w:top w:val="single" w:sz="4" w:space="0" w:color="auto"/>
              <w:left w:val="single" w:sz="4" w:space="0" w:color="auto"/>
              <w:bottom w:val="single" w:sz="4" w:space="0" w:color="auto"/>
              <w:right w:val="single" w:sz="4" w:space="0" w:color="auto"/>
            </w:tcBorders>
          </w:tcPr>
          <w:p w14:paraId="6BAFA8AB" w14:textId="77777777" w:rsidR="002E5A73" w:rsidRPr="00090D5B" w:rsidRDefault="002E5A73" w:rsidP="00A15A2B">
            <w:pPr>
              <w:spacing w:before="36" w:after="36"/>
            </w:pPr>
            <w:r w:rsidRPr="00090D5B">
              <w:t>%</w:t>
            </w:r>
          </w:p>
        </w:tc>
        <w:tc>
          <w:tcPr>
            <w:tcW w:w="2077" w:type="pct"/>
            <w:tcBorders>
              <w:top w:val="single" w:sz="4" w:space="0" w:color="auto"/>
              <w:left w:val="single" w:sz="4" w:space="0" w:color="auto"/>
              <w:bottom w:val="single" w:sz="4" w:space="0" w:color="auto"/>
            </w:tcBorders>
            <w:shd w:val="clear" w:color="auto" w:fill="auto"/>
          </w:tcPr>
          <w:p w14:paraId="4CE6A45A" w14:textId="77777777" w:rsidR="002E5A73" w:rsidRPr="00421C30" w:rsidRDefault="002E5A73" w:rsidP="00A15A2B">
            <w:pPr>
              <w:spacing w:before="36" w:after="36"/>
              <w:rPr>
                <w:color w:val="0070C0"/>
              </w:rPr>
            </w:pPr>
            <w:r w:rsidRPr="005C1EED">
              <w:rPr>
                <w:color w:val="0070C0"/>
              </w:rPr>
              <w:t xml:space="preserve">Estimated in consultation with </w:t>
            </w:r>
            <w:proofErr w:type="spellStart"/>
            <w:r w:rsidRPr="005C1EED">
              <w:rPr>
                <w:color w:val="0070C0"/>
              </w:rPr>
              <w:t>MoH</w:t>
            </w:r>
            <w:proofErr w:type="spellEnd"/>
            <w:r w:rsidRPr="005C1EED">
              <w:rPr>
                <w:color w:val="0070C0"/>
              </w:rPr>
              <w:t>, local clinical hospitals</w:t>
            </w:r>
            <w:r>
              <w:rPr>
                <w:color w:val="0070C0"/>
              </w:rPr>
              <w:t xml:space="preserve"> </w:t>
            </w:r>
          </w:p>
        </w:tc>
      </w:tr>
      <w:tr w:rsidR="002E5A73" w:rsidRPr="00090D5B" w14:paraId="43BCA5FA" w14:textId="77777777" w:rsidTr="00A15A2B">
        <w:trPr>
          <w:trHeight w:val="414"/>
        </w:trPr>
        <w:tc>
          <w:tcPr>
            <w:tcW w:w="1844" w:type="pct"/>
            <w:tcBorders>
              <w:top w:val="single" w:sz="4" w:space="0" w:color="auto"/>
            </w:tcBorders>
          </w:tcPr>
          <w:p w14:paraId="6192D094" w14:textId="77777777" w:rsidR="002E5A73" w:rsidRPr="00090D5B" w:rsidRDefault="002E5A73" w:rsidP="00A15A2B">
            <w:pPr>
              <w:spacing w:before="36" w:after="36"/>
            </w:pPr>
            <w:r w:rsidRPr="00090D5B">
              <w:t xml:space="preserve">Duration of </w:t>
            </w:r>
            <w:proofErr w:type="spellStart"/>
            <w:r w:rsidRPr="00090D5B">
              <w:t>hospitali</w:t>
            </w:r>
            <w:r>
              <w:t>s</w:t>
            </w:r>
            <w:r w:rsidRPr="00090D5B">
              <w:t>ed</w:t>
            </w:r>
            <w:proofErr w:type="spellEnd"/>
            <w:r w:rsidRPr="00090D5B">
              <w:t xml:space="preserve"> infection: (1 to 30)</w:t>
            </w:r>
          </w:p>
        </w:tc>
        <w:tc>
          <w:tcPr>
            <w:tcW w:w="500" w:type="pct"/>
            <w:tcBorders>
              <w:top w:val="single" w:sz="4" w:space="0" w:color="auto"/>
            </w:tcBorders>
          </w:tcPr>
          <w:p w14:paraId="58589641" w14:textId="77777777" w:rsidR="002E5A73" w:rsidRPr="00090D5B" w:rsidRDefault="002E5A73" w:rsidP="00A15A2B">
            <w:pPr>
              <w:spacing w:before="36" w:after="36"/>
            </w:pPr>
            <w:r w:rsidRPr="00090D5B">
              <w:t>14</w:t>
            </w:r>
          </w:p>
        </w:tc>
        <w:tc>
          <w:tcPr>
            <w:tcW w:w="579" w:type="pct"/>
            <w:tcBorders>
              <w:top w:val="single" w:sz="4" w:space="0" w:color="auto"/>
            </w:tcBorders>
          </w:tcPr>
          <w:p w14:paraId="5989294F" w14:textId="77777777" w:rsidR="002E5A73" w:rsidRPr="00090D5B" w:rsidRDefault="002E5A73" w:rsidP="00A15A2B">
            <w:pPr>
              <w:spacing w:before="36" w:after="36"/>
            </w:pPr>
            <w:r w:rsidRPr="00090D5B">
              <w:t>days</w:t>
            </w:r>
          </w:p>
        </w:tc>
        <w:tc>
          <w:tcPr>
            <w:tcW w:w="2077" w:type="pct"/>
            <w:tcBorders>
              <w:top w:val="single" w:sz="4" w:space="0" w:color="auto"/>
            </w:tcBorders>
          </w:tcPr>
          <w:p w14:paraId="7E02928A" w14:textId="77777777" w:rsidR="002E5A73" w:rsidRPr="00421C30" w:rsidRDefault="002E5A73" w:rsidP="00A15A2B">
            <w:pPr>
              <w:spacing w:before="36" w:after="36"/>
              <w:rPr>
                <w:color w:val="0070C0"/>
              </w:rPr>
            </w:pPr>
            <w:r>
              <w:rPr>
                <w:color w:val="0070C0"/>
              </w:rPr>
              <w:t xml:space="preserve">Estimated in consultation with </w:t>
            </w:r>
            <w:proofErr w:type="spellStart"/>
            <w:r>
              <w:rPr>
                <w:color w:val="0070C0"/>
              </w:rPr>
              <w:t>MoH</w:t>
            </w:r>
            <w:proofErr w:type="spellEnd"/>
            <w:r>
              <w:rPr>
                <w:color w:val="0070C0"/>
              </w:rPr>
              <w:t xml:space="preserve">, local clinical hospitals and based on: </w:t>
            </w:r>
            <w:r>
              <w:rPr>
                <w:color w:val="0070C0"/>
              </w:rPr>
              <w:fldChar w:fldCharType="begin" w:fldLock="1"/>
            </w:r>
            <w:r>
              <w:rPr>
                <w:color w:val="0070C0"/>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Lancet","id":"ITEM-1","issue":"10229","issued":{"date-parts":[["2020","3","28"]]},"page":"1054-1062","publisher":"Lancet Publishing Group","title":"Clinical course and risk factors for mortality of adult inpatients with COVID-19 in Wuhan, China: a retrospective cohort study","type":"article-journal","volume":"395"},"uris":["http://www.mendeley.com/documents/?uuid=879a35f8-79ae-3a59-a443-b30eee836af7"]},{"id":"ITEM-2","itemData":{"DOI":"10.3390/jcm9020538","ISSN":"2077-0383","PMID":"32079150","abstract":"The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author":[{"dropping-particle":"","family":"Linton","given":"Natalie","non-dropping-particle":"","parse-names":false,"suffix":""},{"dropping-particle":"","family":"Kobayashi","given":"Tetsuro","non-dropping-particle":"","parse-names":false,"suffix":""},{"dropping-particle":"","family":"Yang","given":"Yichi","non-dropping-particle":"","parse-names":false,"suffix":""},{"dropping-particle":"","family":"Hayashi","given":"Katsuma","non-dropping-particle":"","parse-names":false,"suffix":""},{"dropping-particle":"","family":"Akhmetzhanov","given":"Andrei","non-dropping-particle":"","parse-names":false,"suffix":""},{"dropping-particle":"","family":"Jung","given":"Sung-mok","non-dropping-particle":"","parse-names":false,"suffix":""},{"dropping-particle":"","family":"Yuan","given":"Baoyin","non-dropping-particle":"","parse-names":false,"suffix":""},{"dropping-particle":"","family":"Kinoshita","given":"Ryo","non-dropping-particle":"","parse-names":false,"suffix":""},{"dropping-particle":"","family":"Nishiura","given":"Hiroshi","non-dropping-particle":"","parse-names":false,"suffix":""}],"container-title":"Journal of Clinical Medicine","id":"ITEM-2","issue":"2","issued":{"date-parts":[["2020","2","17"]]},"page":"538","publisher":"MDPI AG","title":"Incubation Period and Other Epidemiological Characteristics of 2019 Novel Coronavirus Infections with Right Truncation: A Statistical Analysis of Publicly Available Case Data","type":"article-journal","volume":"9"},"uris":["http://www.mendeley.com/documents/?uuid=25fc99ef-e1d2-3844-af70-4c16ec112620"]},{"id":"ITEM-3","itemData":{"DOI":"10.1101/2020.04.01.20050138","abstract":"Background: Our understanding of the corona virus disease 2019 (COVID-19) continues to evolve. However, there are many unknowns about its epidemiology. Purpose: To synthesize the number of deaths from confirmed COVID-19 cases, incubation period, as well as time from onset of COVID-19 symptoms to first medical visit, ICU admission, recovery and death of COVID-19. Data Sources: MEDLINE, Embase, and Google Scholar from December 01, 2019 through to March 11, 2020 without language restrictions as well as bibliographies of relevant articles. Study Selection: Quantitative studies that recruited people living with or died due to COVID-19. Data Extraction: Two independent reviewers extracted the data. Conflicts were resolved through discussion with a senior author. Data Synthesis: Out of 1675 non-duplicate studies identified, 57 were included. Pooled mean incubation period was 5.84 (99% CI: 4.83, 6.85) days. Pooled mean number of days from the onset of COVID-19 symptoms to first clinical visit was 4.82 (95% CI: 3.48, 6.15), ICU admission was 10.48 (95% CI: 9.80, 11.16), recovery was 17.76 (95% CI: 12.64, 22.87), and until death was 15.93 (95% CI: 13.07, 18.79). Pooled probability of COVID-19-related death was 0.02 (95% CI: 0.02, 0.03). Limitations: Studies are observational and findings are mainly based on studies that recruited patient from clinics and hospitals and so may be biased toward more severe cases. Conclusion: We found that the incubation period and lag between the onset of symptoms and diagnosis of COVID-19 is longer than other respiratory viral infections including MERS and SARS; however, the current policy of 14 days of mandatory quarantine for everyone might be too conservative. Longer quarantine periods might be more justified for extreme cases.Competing Interest StatementThe authors have declared no competing interest.Funding StatementNoneAuthor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author":[{"dropping-particle":"","family":"Khalili","given":"Malahat","non-dropping-particle":"","parse-names":false,"suffix":""},{"dropping-particle":"","family":"Karamouzian","given":"Mohammad","non-dropping-particle":"","parse-names":false,"suffix":""},{"dropping-particle":"","family":"Nasiri","given":"Naser","non-dropping-particle":"","parse-names":false,"suffix":""},{"dropping-particle":"","family":"Javadi","given":"Sara","non-dropping-particle":"","parse-names":false,"suffix":""},{"dropping-particle":"","family":"Mirzazadeh","given":"Ali","non-dropping-particle":"","parse-names":false,"suffix":""},{"dropping-particle":"","family":"Sharifi","given":"Hamid","non-dropping-particle":"","parse-names":false,"suffix":""}],"container-title":"medRxiv","id":"ITEM-3","issued":{"date-parts":[["2020","4","6"]]},"page":"2020.04.01.20050138","publisher":"Cold Spring Harbor Laboratory Press","title":"Epidemiological Characteristics of COVID-19: A Systemic Review and Meta-Analysis","type":"article-journal"},"uris":["http://www.mendeley.com/documents/?uuid=d597cebd-9e11-3002-9bdc-6d014c8d84bf"]},{"id":"ITEM-4","itemData":{"DOI":"10.1101/2020.04.07.20057299","abstract":"Objective Allocation of medical resource is essential to a strong public health system in response to COVID-19. Analysis of confirmed COVID-19 patients' hospital length of stay in Sichuan can be informative to decision-making in other regions of the world. Design A retrospective cross-sectional study. Data and Method Data from confirmed COVID-19 cases in Sichuan Province were obtained from the National Notifiable Diseases Reporting System (NNDRS) and field survey. We collected information on demographic, epidemiological, clinical characteristics, and the length of hospital stay for confirmed patients. We conducted an exploratory analysis using adjusted multivariate cox-proportional models. Participants A total of 538 confirmed patients of COVID-19 infection in Sichuan Province from January to March 2020. Outcome measure The length of hospital stay after admissions for confirmed patients. Results From January 16, 2020 to March 4, 2020, 538 human cases of COVID-19 infection were laboratory-confirmed, and were hospitalized for treatment. Among these, 271 (50%) were 45 years of age or above, 285 (53%) were male, 450 (84%) were considered as having mild symptoms. The median hospital length of stay was 19 days (interquartile range (IQR): 14-23, Range: 3-41). Adjusted multivariate analysis showed that longer hospital length of stay was associated with factors aged 45 and over (HR: 0.74, 95% CI: 0.60-0.91), those admitted to provincial hospital (HR: 0.73, 95% CI: 0.54-0.99), and those with serious illness (HR: 0.66, 95% CI: 0.48-0.90); living in areas with more than 5.5 healthcare workers per 1000 population (HR: 1.32, 95% CI: 1.05-1.65) was associated with shorter hospital length of stay. There was no gender difference. Conclusions Preparation control measures of COVID-19 should involve the allocation of sufficient medical resources, especially in areas with older vulnerable populations and in areas that lack basic medical resources.\r\n\r\n### Competing Interest Statement\r\n\r\nThe authors have declared no competing interest.\r\n\r\n### Funding Statement\r\n\r\nThis study was supported by the Grants from Science and Technology Bureau of Sichuan province (COVID-19 science and technology emergency project, No. 2020YFS0015) and Sichuan Provincial Leading Group Office for Talent Work (Sichuan provincial \"Tianfu ten thousand talents plan\" fund in 2018).\r\n\r\n### Author Declarations\r\n\r\nAll relevant ethical guidelines have been followed; any necessary IRB and/or ethics committee app…","author":[{"dropping-particle":"","family":"Wang","given":"Zhuo","non-dropping-particle":"","parse-names":false,"suffix":""},{"dropping-particle":"","family":"Ji","given":"John","non-dropping-particle":"","parse-names":false,"suffix":""},{"dropping-particle":"","family":"Liu","given":"Yang","non-dropping-particle":"","parse-names":false,"suffix":""},{"dropping-particle":"","family":"Liu","given":"Runyou","non-dropping-particle":"","parse-names":false,"suffix":""},{"dropping-particle":"","family":"Zha","given":"Yuxin","non-dropping-particle":"","parse-names":false,"suffix":""},{"dropping-particle":"","family":"Chang","given":"Xiaoyu","non-dropping-particle":"","parse-names":false,"suffix":""},{"dropping-particle":"","family":"Zhang","given":"Lun","non-dropping-particle":"","parse-names":false,"suffix":""},{"dropping-particle":"","family":"Zhang","given":"Yu","non-dropping-particle":"","parse-names":false,"suffix":""},{"dropping-particle":"","family":"Zeng","given":"Jing","non-dropping-particle":"","parse-names":false,"suffix":""},{"dropping-particle":"","family":"Dong","given":"Ting","non-dropping-particle":"","parse-names":false,"suffix":""},{"dropping-particle":"","family":"Xu","given":"Xinyin","non-dropping-particle":"","parse-names":false,"suffix":""},{"dropping-particle":"","family":"Zhou","given":"Lijun","non-dropping-particle":"","parse-names":false,"suffix":""},{"dropping-particle":"","family":"He","given":"Jun","non-dropping-particle":"","parse-names":false,"suffix":""},{"dropping-particle":"","family":"Deng","given":"Yin","non-dropping-particle":"","parse-names":false,"suffix":""},{"dropping-particle":"","family":"Zhong","given":"Bo","non-dropping-particle":"","parse-names":false,"suffix":""},{"dropping-particle":"","family":"Wu","given":"Xianping","non-dropping-particle":"","parse-names":false,"suffix":""}],"container-title":"medRxiv","id":"ITEM-4","issued":{"date-parts":[["2020","4","10"]]},"page":"2020.04.07.20057299","publisher":"Cold Spring Harbor Laboratory Press","title":"Survival analysis of hospital length of stay of novel coronavirus (COVID-19) pneumonia patients in Sichuan, China","type":"article-journal"},"uris":["http://www.mendeley.com/documents/?uuid=330dc8be-8c89-375c-9acd-559b0102cd7d"]}],"mendeley":{"formattedCitation":"(24,25,32,33)","manualFormatting":"[24,25,32,33]","plainTextFormattedCitation":"(24,25,32,33)","previouslyFormattedCitation":"(23,24,31,32)"},"properties":{"noteIndex":0},"schema":"https://github.com/citation-style-language/schema/raw/master/csl-citation.json"}</w:instrText>
            </w:r>
            <w:r>
              <w:rPr>
                <w:color w:val="0070C0"/>
              </w:rPr>
              <w:fldChar w:fldCharType="separate"/>
            </w:r>
            <w:r>
              <w:rPr>
                <w:color w:val="0070C0"/>
              </w:rPr>
              <w:t>[</w:t>
            </w:r>
            <w:r w:rsidRPr="002518DC">
              <w:rPr>
                <w:noProof/>
                <w:color w:val="0070C0"/>
              </w:rPr>
              <w:t>24,25,32,33</w:t>
            </w:r>
            <w:r>
              <w:rPr>
                <w:noProof/>
                <w:color w:val="0070C0"/>
              </w:rPr>
              <w:t>]</w:t>
            </w:r>
            <w:r>
              <w:rPr>
                <w:color w:val="0070C0"/>
              </w:rPr>
              <w:fldChar w:fldCharType="end"/>
            </w:r>
          </w:p>
        </w:tc>
      </w:tr>
      <w:tr w:rsidR="002E5A73" w:rsidRPr="00090D5B" w14:paraId="0E496B49" w14:textId="77777777" w:rsidTr="00A15A2B">
        <w:trPr>
          <w:trHeight w:val="408"/>
        </w:trPr>
        <w:tc>
          <w:tcPr>
            <w:tcW w:w="1844" w:type="pct"/>
          </w:tcPr>
          <w:p w14:paraId="37384CC0" w14:textId="77777777" w:rsidR="002E5A73" w:rsidRPr="00090D5B" w:rsidRDefault="002E5A73" w:rsidP="00A15A2B">
            <w:pPr>
              <w:spacing w:before="36" w:after="36"/>
            </w:pPr>
            <w:r w:rsidRPr="00090D5B">
              <w:t>Duration of ICU infection: (1 to 30)</w:t>
            </w:r>
          </w:p>
        </w:tc>
        <w:tc>
          <w:tcPr>
            <w:tcW w:w="500" w:type="pct"/>
          </w:tcPr>
          <w:p w14:paraId="05E52EEE" w14:textId="77777777" w:rsidR="002E5A73" w:rsidRPr="00090D5B" w:rsidRDefault="002E5A73" w:rsidP="00A15A2B">
            <w:pPr>
              <w:spacing w:before="36" w:after="36"/>
            </w:pPr>
            <w:r w:rsidRPr="00090D5B">
              <w:t>20</w:t>
            </w:r>
          </w:p>
        </w:tc>
        <w:tc>
          <w:tcPr>
            <w:tcW w:w="579" w:type="pct"/>
          </w:tcPr>
          <w:p w14:paraId="44461762" w14:textId="77777777" w:rsidR="002E5A73" w:rsidRPr="00090D5B" w:rsidRDefault="002E5A73" w:rsidP="00A15A2B">
            <w:pPr>
              <w:spacing w:before="36" w:after="36"/>
            </w:pPr>
            <w:r w:rsidRPr="00090D5B">
              <w:t>days</w:t>
            </w:r>
          </w:p>
        </w:tc>
        <w:tc>
          <w:tcPr>
            <w:tcW w:w="2077" w:type="pct"/>
          </w:tcPr>
          <w:p w14:paraId="4FFBE9E9" w14:textId="77777777" w:rsidR="002E5A73" w:rsidRPr="00421C30" w:rsidRDefault="002E5A73" w:rsidP="00A15A2B">
            <w:pPr>
              <w:spacing w:before="36" w:after="36"/>
              <w:rPr>
                <w:color w:val="0070C0"/>
              </w:rPr>
            </w:pPr>
            <w:r>
              <w:rPr>
                <w:color w:val="0070C0"/>
              </w:rPr>
              <w:t xml:space="preserve">Estimated in consultation with </w:t>
            </w:r>
            <w:proofErr w:type="spellStart"/>
            <w:r>
              <w:rPr>
                <w:color w:val="0070C0"/>
              </w:rPr>
              <w:t>MoH</w:t>
            </w:r>
            <w:proofErr w:type="spellEnd"/>
            <w:r>
              <w:rPr>
                <w:color w:val="0070C0"/>
              </w:rPr>
              <w:t xml:space="preserve">, local clinical hospitals and based on: </w:t>
            </w:r>
            <w:r>
              <w:rPr>
                <w:color w:val="0070C0"/>
              </w:rPr>
              <w:fldChar w:fldCharType="begin" w:fldLock="1"/>
            </w:r>
            <w:r>
              <w:rPr>
                <w:color w:val="0070C0"/>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Lancet","id":"ITEM-1","issue":"10229","issued":{"date-parts":[["2020","3","28"]]},"page":"1054-1062","publisher":"Lancet Publishing Group","title":"Clinical course and risk factors for mortality of adult inpatients with COVID-19 in Wuhan, China: a retrospective cohort study","type":"article-journal","volume":"395"},"uris":["http://www.mendeley.com/documents/?uuid=879a35f8-79ae-3a59-a443-b30eee836af7"]},{"id":"ITEM-2","itemData":{"DOI":"10.3390/jcm9020538","ISSN":"2077-0383","PMID":"32079150","abstract":"The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author":[{"dropping-particle":"","family":"Linton","given":"Natalie","non-dropping-particle":"","parse-names":false,"suffix":""},{"dropping-particle":"","family":"Kobayashi","given":"Tetsuro","non-dropping-particle":"","parse-names":false,"suffix":""},{"dropping-particle":"","family":"Yang","given":"Yichi","non-dropping-particle":"","parse-names":false,"suffix":""},{"dropping-particle":"","family":"Hayashi","given":"Katsuma","non-dropping-particle":"","parse-names":false,"suffix":""},{"dropping-particle":"","family":"Akhmetzhanov","given":"Andrei","non-dropping-particle":"","parse-names":false,"suffix":""},{"dropping-particle":"","family":"Jung","given":"Sung-mok","non-dropping-particle":"","parse-names":false,"suffix":""},{"dropping-particle":"","family":"Yuan","given":"Baoyin","non-dropping-particle":"","parse-names":false,"suffix":""},{"dropping-particle":"","family":"Kinoshita","given":"Ryo","non-dropping-particle":"","parse-names":false,"suffix":""},{"dropping-particle":"","family":"Nishiura","given":"Hiroshi","non-dropping-particle":"","parse-names":false,"suffix":""}],"container-title":"Journal of Clinical Medicine","id":"ITEM-2","issue":"2","issued":{"date-parts":[["2020","2","17"]]},"page":"538","publisher":"MDPI AG","title":"Incubation Period and Other Epidemiological Characteristics of 2019 Novel Coronavirus Infections with Right Truncation: A Statistical Analysis of Publicly Available Case Data","type":"article-journal","volume":"9"},"uris":["http://www.mendeley.com/documents/?uuid=25fc99ef-e1d2-3844-af70-4c16ec112620"]},{"id":"ITEM-3","itemData":{"DOI":"10.1101/2020.04.01.20050138","abstract":"Background: Our understanding of the corona virus disease 2019 (COVID-19) continues to evolve. However, there are many unknowns about its epidemiology. Purpose: To synthesize the number of deaths from confirmed COVID-19 cases, incubation period, as well as time from onset of COVID-19 symptoms to first medical visit, ICU admission, recovery and death of COVID-19. Data Sources: MEDLINE, Embase, and Google Scholar from December 01, 2019 through to March 11, 2020 without language restrictions as well as bibliographies of relevant articles. Study Selection: Quantitative studies that recruited people living with or died due to COVID-19. Data Extraction: Two independent reviewers extracted the data. Conflicts were resolved through discussion with a senior author. Data Synthesis: Out of 1675 non-duplicate studies identified, 57 were included. Pooled mean incubation period was 5.84 (99% CI: 4.83, 6.85) days. Pooled mean number of days from the onset of COVID-19 symptoms to first clinical visit was 4.82 (95% CI: 3.48, 6.15), ICU admission was 10.48 (95% CI: 9.80, 11.16), recovery was 17.76 (95% CI: 12.64, 22.87), and until death was 15.93 (95% CI: 13.07, 18.79). Pooled probability of COVID-19-related death was 0.02 (95% CI: 0.02, 0.03). Limitations: Studies are observational and findings are mainly based on studies that recruited patient from clinics and hospitals and so may be biased toward more severe cases. Conclusion: We found that the incubation period and lag between the onset of symptoms and diagnosis of COVID-19 is longer than other respiratory viral infections including MERS and SARS; however, the current policy of 14 days of mandatory quarantine for everyone might be too conservative. Longer quarantine periods might be more justified for extreme cases.Competing Interest StatementThe authors have declared no competing interest.Funding StatementNoneAuthor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author":[{"dropping-particle":"","family":"Khalili","given":"Malahat","non-dropping-particle":"","parse-names":false,"suffix":""},{"dropping-particle":"","family":"Karamouzian","given":"Mohammad","non-dropping-particle":"","parse-names":false,"suffix":""},{"dropping-particle":"","family":"Nasiri","given":"Naser","non-dropping-particle":"","parse-names":false,"suffix":""},{"dropping-particle":"","family":"Javadi","given":"Sara","non-dropping-particle":"","parse-names":false,"suffix":""},{"dropping-particle":"","family":"Mirzazadeh","given":"Ali","non-dropping-particle":"","parse-names":false,"suffix":""},{"dropping-particle":"","family":"Sharifi","given":"Hamid","non-dropping-particle":"","parse-names":false,"suffix":""}],"container-title":"medRxiv","id":"ITEM-3","issued":{"date-parts":[["2020","4","6"]]},"page":"2020.04.01.20050138","publisher":"Cold Spring Harbor Laboratory Press","title":"Epidemiological Characteristics of COVID-19: A Systemic Review and Meta-Analysis","type":"article-journal"},"uris":["http://www.mendeley.com/documents/?uuid=d597cebd-9e11-3002-9bdc-6d014c8d84bf"]},{"id":"ITEM-4","itemData":{"DOI":"10.1101/2020.04.07.20057299","abstract":"Objective Allocation of medical resource is essential to a strong public health system in response to COVID-19. Analysis of confirmed COVID-19 patients' hospital length of stay in Sichuan can be informative to decision-making in other regions of the world. Design A retrospective cross-sectional study. Data and Method Data from confirmed COVID-19 cases in Sichuan Province were obtained from the National Notifiable Diseases Reporting System (NNDRS) and field survey. We collected information on demographic, epidemiological, clinical characteristics, and the length of hospital stay for confirmed patients. We conducted an exploratory analysis using adjusted multivariate cox-proportional models. Participants A total of 538 confirmed patients of COVID-19 infection in Sichuan Province from January to March 2020. Outcome measure The length of hospital stay after admissions for confirmed patients. Results From January 16, 2020 to March 4, 2020, 538 human cases of COVID-19 infection were laboratory-confirmed, and were hospitalized for treatment. Among these, 271 (50%) were 45 years of age or above, 285 (53%) were male, 450 (84%) were considered as having mild symptoms. The median hospital length of stay was 19 days (interquartile range (IQR): 14-23, Range: 3-41). Adjusted multivariate analysis showed that longer hospital length of stay was associated with factors aged 45 and over (HR: 0.74, 95% CI: 0.60-0.91), those admitted to provincial hospital (HR: 0.73, 95% CI: 0.54-0.99), and those with serious illness (HR: 0.66, 95% CI: 0.48-0.90); living in areas with more than 5.5 healthcare workers per 1000 population (HR: 1.32, 95% CI: 1.05-1.65) was associated with shorter hospital length of stay. There was no gender difference. Conclusions Preparation control measures of COVID-19 should involve the allocation of sufficient medical resources, especially in areas with older vulnerable populations and in areas that lack basic medical resources.\r\n\r\n### Competing Interest Statement\r\n\r\nThe authors have declared no competing interest.\r\n\r\n### Funding Statement\r\n\r\nThis study was supported by the Grants from Science and Technology Bureau of Sichuan province (COVID-19 science and technology emergency project, No. 2020YFS0015) and Sichuan Provincial Leading Group Office for Talent Work (Sichuan provincial \"Tianfu ten thousand talents plan\" fund in 2018).\r\n\r\n### Author Declarations\r\n\r\nAll relevant ethical guidelines have been followed; any necessary IRB and/or ethics committee app…","author":[{"dropping-particle":"","family":"Wang","given":"Zhuo","non-dropping-particle":"","parse-names":false,"suffix":""},{"dropping-particle":"","family":"Ji","given":"John","non-dropping-particle":"","parse-names":false,"suffix":""},{"dropping-particle":"","family":"Liu","given":"Yang","non-dropping-particle":"","parse-names":false,"suffix":""},{"dropping-particle":"","family":"Liu","given":"Runyou","non-dropping-particle":"","parse-names":false,"suffix":""},{"dropping-particle":"","family":"Zha","given":"Yuxin","non-dropping-particle":"","parse-names":false,"suffix":""},{"dropping-particle":"","family":"Chang","given":"Xiaoyu","non-dropping-particle":"","parse-names":false,"suffix":""},{"dropping-particle":"","family":"Zhang","given":"Lun","non-dropping-particle":"","parse-names":false,"suffix":""},{"dropping-particle":"","family":"Zhang","given":"Yu","non-dropping-particle":"","parse-names":false,"suffix":""},{"dropping-particle":"","family":"Zeng","given":"Jing","non-dropping-particle":"","parse-names":false,"suffix":""},{"dropping-particle":"","family":"Dong","given":"Ting","non-dropping-particle":"","parse-names":false,"suffix":""},{"dropping-particle":"","family":"Xu","given":"Xinyin","non-dropping-particle":"","parse-names":false,"suffix":""},{"dropping-particle":"","family":"Zhou","given":"Lijun","non-dropping-particle":"","parse-names":false,"suffix":""},{"dropping-particle":"","family":"He","given":"Jun","non-dropping-particle":"","parse-names":false,"suffix":""},{"dropping-particle":"","family":"Deng","given":"Yin","non-dropping-particle":"","parse-names":false,"suffix":""},{"dropping-particle":"","family":"Zhong","given":"Bo","non-dropping-particle":"","parse-names":false,"suffix":""},{"dropping-particle":"","family":"Wu","given":"Xianping","non-dropping-particle":"","parse-names":false,"suffix":""}],"container-title":"medRxiv","id":"ITEM-4","issued":{"date-parts":[["2020","4","10"]]},"page":"2020.04.07.20057299","publisher":"Cold Spring Harbor Laboratory Press","title":"Survival analysis of hospital length of stay of novel coronavirus (COVID-19) pneumonia patients in Sichuan, China","type":"article-journal"},"uris":["http://www.mendeley.com/documents/?uuid=330dc8be-8c89-375c-9acd-559b0102cd7d"]}],"mendeley":{"formattedCitation":"(24,25,32,33)","manualFormatting":"[24,25,32,33]","plainTextFormattedCitation":"(24,25,32,33)","previouslyFormattedCitation":"(23,24,31,32)"},"properties":{"noteIndex":0},"schema":"https://github.com/citation-style-language/schema/raw/master/csl-citation.json"}</w:instrText>
            </w:r>
            <w:r>
              <w:rPr>
                <w:color w:val="0070C0"/>
              </w:rPr>
              <w:fldChar w:fldCharType="separate"/>
            </w:r>
            <w:r>
              <w:rPr>
                <w:color w:val="0070C0"/>
              </w:rPr>
              <w:t>[</w:t>
            </w:r>
            <w:r w:rsidRPr="002518DC">
              <w:rPr>
                <w:noProof/>
                <w:color w:val="0070C0"/>
              </w:rPr>
              <w:t>24,25,32,33</w:t>
            </w:r>
            <w:r>
              <w:rPr>
                <w:noProof/>
                <w:color w:val="0070C0"/>
              </w:rPr>
              <w:t>]</w:t>
            </w:r>
            <w:r>
              <w:rPr>
                <w:color w:val="0070C0"/>
              </w:rPr>
              <w:fldChar w:fldCharType="end"/>
            </w:r>
          </w:p>
        </w:tc>
      </w:tr>
      <w:tr w:rsidR="002E5A73" w:rsidRPr="00090D5B" w14:paraId="78A7F28E" w14:textId="77777777" w:rsidTr="00A15A2B">
        <w:trPr>
          <w:trHeight w:val="414"/>
        </w:trPr>
        <w:tc>
          <w:tcPr>
            <w:tcW w:w="1844" w:type="pct"/>
          </w:tcPr>
          <w:p w14:paraId="31A5889E" w14:textId="77777777" w:rsidR="002E5A73" w:rsidRPr="00090D5B" w:rsidRDefault="002E5A73" w:rsidP="00A15A2B">
            <w:pPr>
              <w:spacing w:before="36" w:after="36"/>
            </w:pPr>
            <w:r w:rsidRPr="00090D5B">
              <w:t>Duration of ventilated infection: (1 to 30)</w:t>
            </w:r>
          </w:p>
        </w:tc>
        <w:tc>
          <w:tcPr>
            <w:tcW w:w="500" w:type="pct"/>
          </w:tcPr>
          <w:p w14:paraId="3676D89C" w14:textId="77777777" w:rsidR="002E5A73" w:rsidRPr="00090D5B" w:rsidRDefault="002E5A73" w:rsidP="00A15A2B">
            <w:pPr>
              <w:spacing w:before="36" w:after="36"/>
            </w:pPr>
            <w:r w:rsidRPr="00090D5B">
              <w:t>24</w:t>
            </w:r>
          </w:p>
        </w:tc>
        <w:tc>
          <w:tcPr>
            <w:tcW w:w="579" w:type="pct"/>
          </w:tcPr>
          <w:p w14:paraId="0860AFE4" w14:textId="77777777" w:rsidR="002E5A73" w:rsidRPr="00090D5B" w:rsidRDefault="002E5A73" w:rsidP="00A15A2B">
            <w:pPr>
              <w:spacing w:before="36" w:after="36"/>
            </w:pPr>
            <w:r w:rsidRPr="00090D5B">
              <w:t>days</w:t>
            </w:r>
          </w:p>
        </w:tc>
        <w:tc>
          <w:tcPr>
            <w:tcW w:w="2077" w:type="pct"/>
          </w:tcPr>
          <w:p w14:paraId="004881CB" w14:textId="77777777" w:rsidR="002E5A73" w:rsidRPr="00421C30" w:rsidRDefault="002E5A73" w:rsidP="00A15A2B">
            <w:pPr>
              <w:spacing w:before="36" w:after="36"/>
              <w:rPr>
                <w:color w:val="0070C0"/>
              </w:rPr>
            </w:pPr>
            <w:r>
              <w:rPr>
                <w:color w:val="0070C0"/>
              </w:rPr>
              <w:t xml:space="preserve">Estimated in consultation with </w:t>
            </w:r>
            <w:proofErr w:type="spellStart"/>
            <w:r>
              <w:rPr>
                <w:color w:val="0070C0"/>
              </w:rPr>
              <w:t>MoH</w:t>
            </w:r>
            <w:proofErr w:type="spellEnd"/>
            <w:r>
              <w:rPr>
                <w:color w:val="0070C0"/>
              </w:rPr>
              <w:t xml:space="preserve">, local clinical hospitals and based on: </w:t>
            </w:r>
            <w:r>
              <w:rPr>
                <w:color w:val="0070C0"/>
              </w:rPr>
              <w:fldChar w:fldCharType="begin" w:fldLock="1"/>
            </w:r>
            <w:r>
              <w:rPr>
                <w:color w:val="0070C0"/>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Lancet","id":"ITEM-1","issue":"10229","issued":{"date-parts":[["2020","3","28"]]},"page":"1054-1062","publisher":"Lancet Publishing Group","title":"Clinical course and risk factors for mortality of adult inpatients with COVID-19 in Wuhan, China: a retrospective cohort study","type":"article-journal","volume":"395"},"uris":["http://www.mendeley.com/documents/?uuid=879a35f8-79ae-3a59-a443-b30eee836af7"]},{"id":"ITEM-2","itemData":{"DOI":"10.3390/jcm9020538","ISSN":"2077-0383","PMID":"32079150","abstract":"The geographic spread of 2019 novel coronavirus (COVID-19) infections from the epicenter of Wuhan, China, has provided an opportunity to study the natural history of the recently emerged virus. Using publicly available event-date data from the ongoing epidemic, the present study investigated the incubation period and other time intervals that govern the epidemiological dynamics of COVID-19 infections. Our results show that the incubation period falls within the range of 2–14 days with 95% confidence and has a mean of around 5 days when approximated using the best-fit lognormal distribution. The mean time from illness onset to hospital admission (for treatment and/or isolation) was estimated at 3–4 days without truncation and at 5–9 days when right truncated. Based on the 95th percentile estimate of the incubation period, we recommend that the length of quarantine should be at least 14 days. The median time delay of 13 days from illness onset to death (17 days with right truncation) should be considered when estimating the COVID-19 case fatality risk.","author":[{"dropping-particle":"","family":"Linton","given":"Natalie","non-dropping-particle":"","parse-names":false,"suffix":""},{"dropping-particle":"","family":"Kobayashi","given":"Tetsuro","non-dropping-particle":"","parse-names":false,"suffix":""},{"dropping-particle":"","family":"Yang","given":"Yichi","non-dropping-particle":"","parse-names":false,"suffix":""},{"dropping-particle":"","family":"Hayashi","given":"Katsuma","non-dropping-particle":"","parse-names":false,"suffix":""},{"dropping-particle":"","family":"Akhmetzhanov","given":"Andrei","non-dropping-particle":"","parse-names":false,"suffix":""},{"dropping-particle":"","family":"Jung","given":"Sung-mok","non-dropping-particle":"","parse-names":false,"suffix":""},{"dropping-particle":"","family":"Yuan","given":"Baoyin","non-dropping-particle":"","parse-names":false,"suffix":""},{"dropping-particle":"","family":"Kinoshita","given":"Ryo","non-dropping-particle":"","parse-names":false,"suffix":""},{"dropping-particle":"","family":"Nishiura","given":"Hiroshi","non-dropping-particle":"","parse-names":false,"suffix":""}],"container-title":"Journal of Clinical Medicine","id":"ITEM-2","issue":"2","issued":{"date-parts":[["2020","2","17"]]},"page":"538","publisher":"MDPI AG","title":"Incubation Period and Other Epidemiological Characteristics of 2019 Novel Coronavirus Infections with Right Truncation: A Statistical Analysis of Publicly Available Case Data","type":"article-journal","volume":"9"},"uris":["http://www.mendeley.com/documents/?uuid=25fc99ef-e1d2-3844-af70-4c16ec112620"]},{"id":"ITEM-3","itemData":{"DOI":"10.1101/2020.04.01.20050138","abstract":"Background: Our understanding of the corona virus disease 2019 (COVID-19) continues to evolve. However, there are many unknowns about its epidemiology. Purpose: To synthesize the number of deaths from confirmed COVID-19 cases, incubation period, as well as time from onset of COVID-19 symptoms to first medical visit, ICU admission, recovery and death of COVID-19. Data Sources: MEDLINE, Embase, and Google Scholar from December 01, 2019 through to March 11, 2020 without language restrictions as well as bibliographies of relevant articles. Study Selection: Quantitative studies that recruited people living with or died due to COVID-19. Data Extraction: Two independent reviewers extracted the data. Conflicts were resolved through discussion with a senior author. Data Synthesis: Out of 1675 non-duplicate studies identified, 57 were included. Pooled mean incubation period was 5.84 (99% CI: 4.83, 6.85) days. Pooled mean number of days from the onset of COVID-19 symptoms to first clinical visit was 4.82 (95% CI: 3.48, 6.15), ICU admission was 10.48 (95% CI: 9.80, 11.16), recovery was 17.76 (95% CI: 12.64, 22.87), and until death was 15.93 (95% CI: 13.07, 18.79). Pooled probability of COVID-19-related death was 0.02 (95% CI: 0.02, 0.03). Limitations: Studies are observational and findings are mainly based on studies that recruited patient from clinics and hospitals and so may be biased toward more severe cases. Conclusion: We found that the incubation period and lag between the onset of symptoms and diagnosis of COVID-19 is longer than other respiratory viral infections including MERS and SARS; however, the current policy of 14 days of mandatory quarantine for everyone might be too conservative. Longer quarantine periods might be more justified for extreme cases.Competing Interest StatementThe authors have declared no competing interest.Funding StatementNoneAuthor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author":[{"dropping-particle":"","family":"Khalili","given":"Malahat","non-dropping-particle":"","parse-names":false,"suffix":""},{"dropping-particle":"","family":"Karamouzian","given":"Mohammad","non-dropping-particle":"","parse-names":false,"suffix":""},{"dropping-particle":"","family":"Nasiri","given":"Naser","non-dropping-particle":"","parse-names":false,"suffix":""},{"dropping-particle":"","family":"Javadi","given":"Sara","non-dropping-particle":"","parse-names":false,"suffix":""},{"dropping-particle":"","family":"Mirzazadeh","given":"Ali","non-dropping-particle":"","parse-names":false,"suffix":""},{"dropping-particle":"","family":"Sharifi","given":"Hamid","non-dropping-particle":"","parse-names":false,"suffix":""}],"container-title":"medRxiv","id":"ITEM-3","issued":{"date-parts":[["2020","4","6"]]},"page":"2020.04.01.20050138","publisher":"Cold Spring Harbor Laboratory Press","title":"Epidemiological Characteristics of COVID-19: A Systemic Review and Meta-Analysis","type":"article-journal"},"uris":["http://www.mendeley.com/documents/?uuid=d597cebd-9e11-3002-9bdc-6d014c8d84bf"]},{"id":"ITEM-4","itemData":{"DOI":"10.1101/2020.04.07.20057299","abstract":"Objective Allocation of medical resource is essential to a strong public health system in response to COVID-19. Analysis of confirmed COVID-19 patients' hospital length of stay in Sichuan can be informative to decision-making in other regions of the world. Design A retrospective cross-sectional study. Data and Method Data from confirmed COVID-19 cases in Sichuan Province were obtained from the National Notifiable Diseases Reporting System (NNDRS) and field survey. We collected information on demographic, epidemiological, clinical characteristics, and the length of hospital stay for confirmed patients. We conducted an exploratory analysis using adjusted multivariate cox-proportional models. Participants A total of 538 confirmed patients of COVID-19 infection in Sichuan Province from January to March 2020. Outcome measure The length of hospital stay after admissions for confirmed patients. Results From January 16, 2020 to March 4, 2020, 538 human cases of COVID-19 infection were laboratory-confirmed, and were hospitalized for treatment. Among these, 271 (50%) were 45 years of age or above, 285 (53%) were male, 450 (84%) were considered as having mild symptoms. The median hospital length of stay was 19 days (interquartile range (IQR): 14-23, Range: 3-41). Adjusted multivariate analysis showed that longer hospital length of stay was associated with factors aged 45 and over (HR: 0.74, 95% CI: 0.60-0.91), those admitted to provincial hospital (HR: 0.73, 95% CI: 0.54-0.99), and those with serious illness (HR: 0.66, 95% CI: 0.48-0.90); living in areas with more than 5.5 healthcare workers per 1000 population (HR: 1.32, 95% CI: 1.05-1.65) was associated with shorter hospital length of stay. There was no gender difference. Conclusions Preparation control measures of COVID-19 should involve the allocation of sufficient medical resources, especially in areas with older vulnerable populations and in areas that lack basic medical resources.\r\n\r\n### Competing Interest Statement\r\n\r\nThe authors have declared no competing interest.\r\n\r\n### Funding Statement\r\n\r\nThis study was supported by the Grants from Science and Technology Bureau of Sichuan province (COVID-19 science and technology emergency project, No. 2020YFS0015) and Sichuan Provincial Leading Group Office for Talent Work (Sichuan provincial \"Tianfu ten thousand talents plan\" fund in 2018).\r\n\r\n### Author Declarations\r\n\r\nAll relevant ethical guidelines have been followed; any necessary IRB and/or ethics committee app…","author":[{"dropping-particle":"","family":"Wang","given":"Zhuo","non-dropping-particle":"","parse-names":false,"suffix":""},{"dropping-particle":"","family":"Ji","given":"John","non-dropping-particle":"","parse-names":false,"suffix":""},{"dropping-particle":"","family":"Liu","given":"Yang","non-dropping-particle":"","parse-names":false,"suffix":""},{"dropping-particle":"","family":"Liu","given":"Runyou","non-dropping-particle":"","parse-names":false,"suffix":""},{"dropping-particle":"","family":"Zha","given":"Yuxin","non-dropping-particle":"","parse-names":false,"suffix":""},{"dropping-particle":"","family":"Chang","given":"Xiaoyu","non-dropping-particle":"","parse-names":false,"suffix":""},{"dropping-particle":"","family":"Zhang","given":"Lun","non-dropping-particle":"","parse-names":false,"suffix":""},{"dropping-particle":"","family":"Zhang","given":"Yu","non-dropping-particle":"","parse-names":false,"suffix":""},{"dropping-particle":"","family":"Zeng","given":"Jing","non-dropping-particle":"","parse-names":false,"suffix":""},{"dropping-particle":"","family":"Dong","given":"Ting","non-dropping-particle":"","parse-names":false,"suffix":""},{"dropping-particle":"","family":"Xu","given":"Xinyin","non-dropping-particle":"","parse-names":false,"suffix":""},{"dropping-particle":"","family":"Zhou","given":"Lijun","non-dropping-particle":"","parse-names":false,"suffix":""},{"dropping-particle":"","family":"He","given":"Jun","non-dropping-particle":"","parse-names":false,"suffix":""},{"dropping-particle":"","family":"Deng","given":"Yin","non-dropping-particle":"","parse-names":false,"suffix":""},{"dropping-particle":"","family":"Zhong","given":"Bo","non-dropping-particle":"","parse-names":false,"suffix":""},{"dropping-particle":"","family":"Wu","given":"Xianping","non-dropping-particle":"","parse-names":false,"suffix":""}],"container-title":"medRxiv","id":"ITEM-4","issued":{"date-parts":[["2020","4","10"]]},"page":"2020.04.07.20057299","publisher":"Cold Spring Harbor Laboratory Press","title":"Survival analysis of hospital length of stay of novel coronavirus (COVID-19) pneumonia patients in Sichuan, China","type":"article-journal"},"uris":["http://www.mendeley.com/documents/?uuid=330dc8be-8c89-375c-9acd-559b0102cd7d"]}],"mendeley":{"formattedCitation":"(24,25,32,33)","manualFormatting":"[24,25,32,33]","plainTextFormattedCitation":"(24,25,32,33)","previouslyFormattedCitation":"(23,24,31,32)"},"properties":{"noteIndex":0},"schema":"https://github.com/citation-style-language/schema/raw/master/csl-citation.json"}</w:instrText>
            </w:r>
            <w:r>
              <w:rPr>
                <w:color w:val="0070C0"/>
              </w:rPr>
              <w:fldChar w:fldCharType="separate"/>
            </w:r>
            <w:r>
              <w:rPr>
                <w:color w:val="0070C0"/>
              </w:rPr>
              <w:t>[</w:t>
            </w:r>
            <w:r w:rsidRPr="002518DC">
              <w:rPr>
                <w:noProof/>
                <w:color w:val="0070C0"/>
              </w:rPr>
              <w:t>24,25,32,33</w:t>
            </w:r>
            <w:r>
              <w:rPr>
                <w:noProof/>
                <w:color w:val="0070C0"/>
              </w:rPr>
              <w:t>]</w:t>
            </w:r>
            <w:r>
              <w:rPr>
                <w:color w:val="0070C0"/>
              </w:rPr>
              <w:fldChar w:fldCharType="end"/>
            </w:r>
          </w:p>
        </w:tc>
      </w:tr>
    </w:tbl>
    <w:p w14:paraId="5E111910" w14:textId="77777777" w:rsidR="002E5A73" w:rsidRDefault="002E5A73" w:rsidP="002E5A73">
      <w:pPr>
        <w:pStyle w:val="ListParagraph"/>
        <w:spacing w:line="360" w:lineRule="auto"/>
        <w:rPr>
          <w:b/>
          <w:bCs/>
          <w:sz w:val="24"/>
          <w:szCs w:val="24"/>
        </w:rPr>
      </w:pPr>
    </w:p>
    <w:p w14:paraId="50FB5D31" w14:textId="77777777" w:rsidR="002E5A73" w:rsidRDefault="002E5A73" w:rsidP="002E5A73">
      <w:pPr>
        <w:rPr>
          <w:b/>
          <w:bCs/>
          <w:sz w:val="24"/>
          <w:szCs w:val="24"/>
        </w:rPr>
      </w:pPr>
    </w:p>
    <w:p w14:paraId="56330D98" w14:textId="77777777" w:rsidR="002E5A73" w:rsidRPr="0078060E" w:rsidRDefault="002E5A73" w:rsidP="002E5A73">
      <w:pPr>
        <w:pStyle w:val="ListParagraph"/>
        <w:numPr>
          <w:ilvl w:val="0"/>
          <w:numId w:val="2"/>
        </w:numPr>
        <w:spacing w:line="360" w:lineRule="auto"/>
        <w:rPr>
          <w:b/>
          <w:bCs/>
          <w:sz w:val="24"/>
          <w:szCs w:val="24"/>
        </w:rPr>
      </w:pPr>
      <w:r>
        <w:rPr>
          <w:b/>
          <w:bCs/>
          <w:sz w:val="24"/>
          <w:szCs w:val="24"/>
        </w:rPr>
        <w:t xml:space="preserve">Age-based fatality rate and infections that lead to hospitalisation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92"/>
        <w:gridCol w:w="4094"/>
      </w:tblGrid>
      <w:tr w:rsidR="002E5A73" w:rsidRPr="00090D5B" w14:paraId="164582B0" w14:textId="77777777" w:rsidTr="00A15A2B">
        <w:trPr>
          <w:trHeight w:val="1185"/>
        </w:trPr>
        <w:tc>
          <w:tcPr>
            <w:tcW w:w="2042" w:type="dxa"/>
            <w:vMerge w:val="restart"/>
            <w:shd w:val="clear" w:color="auto" w:fill="auto"/>
            <w:noWrap/>
            <w:vAlign w:val="center"/>
            <w:hideMark/>
          </w:tcPr>
          <w:p w14:paraId="7F9D7687" w14:textId="77777777" w:rsidR="002E5A73" w:rsidRPr="00090D5B" w:rsidRDefault="002E5A73" w:rsidP="00A15A2B">
            <w:pPr>
              <w:spacing w:before="36" w:after="36" w:line="240" w:lineRule="auto"/>
              <w:rPr>
                <w:sz w:val="24"/>
                <w:szCs w:val="24"/>
              </w:rPr>
            </w:pPr>
            <w:r w:rsidRPr="00090D5B">
              <w:rPr>
                <w:sz w:val="24"/>
                <w:szCs w:val="24"/>
              </w:rPr>
              <w:t xml:space="preserve">Age </w:t>
            </w:r>
            <w:r>
              <w:rPr>
                <w:sz w:val="24"/>
                <w:szCs w:val="24"/>
              </w:rPr>
              <w:t>c</w:t>
            </w:r>
            <w:r w:rsidRPr="00090D5B">
              <w:rPr>
                <w:sz w:val="24"/>
                <w:szCs w:val="24"/>
              </w:rPr>
              <w:t>ategory/</w:t>
            </w:r>
            <w:r>
              <w:rPr>
                <w:sz w:val="24"/>
                <w:szCs w:val="24"/>
              </w:rPr>
              <w:t>r</w:t>
            </w:r>
            <w:r w:rsidRPr="00090D5B">
              <w:rPr>
                <w:sz w:val="24"/>
                <w:szCs w:val="24"/>
              </w:rPr>
              <w:t>esource</w:t>
            </w:r>
            <w:r>
              <w:rPr>
                <w:sz w:val="24"/>
                <w:szCs w:val="24"/>
              </w:rPr>
              <w:t xml:space="preserve"> (years)</w:t>
            </w:r>
          </w:p>
        </w:tc>
        <w:tc>
          <w:tcPr>
            <w:tcW w:w="2792" w:type="dxa"/>
            <w:shd w:val="clear" w:color="auto" w:fill="auto"/>
            <w:vAlign w:val="center"/>
            <w:hideMark/>
          </w:tcPr>
          <w:p w14:paraId="56D911FA" w14:textId="77777777" w:rsidR="002E5A73" w:rsidRPr="00090D5B" w:rsidRDefault="002E5A73" w:rsidP="00A15A2B">
            <w:pPr>
              <w:spacing w:before="36" w:after="36" w:line="240" w:lineRule="auto"/>
              <w:rPr>
                <w:sz w:val="24"/>
                <w:szCs w:val="24"/>
              </w:rPr>
            </w:pPr>
            <w:r w:rsidRPr="00090D5B">
              <w:rPr>
                <w:sz w:val="24"/>
                <w:szCs w:val="24"/>
              </w:rPr>
              <w:t xml:space="preserve">Age-based relative fatality rate in </w:t>
            </w:r>
            <w:r>
              <w:rPr>
                <w:sz w:val="24"/>
                <w:szCs w:val="24"/>
              </w:rPr>
              <w:t xml:space="preserve">a </w:t>
            </w:r>
            <w:r w:rsidRPr="00090D5B">
              <w:rPr>
                <w:sz w:val="24"/>
                <w:szCs w:val="24"/>
              </w:rPr>
              <w:t>well-resourced scenario (%)</w:t>
            </w:r>
          </w:p>
        </w:tc>
        <w:tc>
          <w:tcPr>
            <w:tcW w:w="4094" w:type="dxa"/>
            <w:shd w:val="clear" w:color="auto" w:fill="auto"/>
            <w:vAlign w:val="center"/>
            <w:hideMark/>
          </w:tcPr>
          <w:p w14:paraId="60938440" w14:textId="77777777" w:rsidR="002E5A73" w:rsidRPr="00090D5B" w:rsidRDefault="002E5A73" w:rsidP="00A15A2B">
            <w:pPr>
              <w:spacing w:before="36" w:after="36" w:line="240" w:lineRule="auto"/>
              <w:rPr>
                <w:sz w:val="24"/>
                <w:szCs w:val="24"/>
              </w:rPr>
            </w:pPr>
            <w:r w:rsidRPr="00090D5B">
              <w:rPr>
                <w:sz w:val="24"/>
                <w:szCs w:val="24"/>
              </w:rPr>
              <w:t>Age-stratum-specific hospitali</w:t>
            </w:r>
            <w:r>
              <w:rPr>
                <w:sz w:val="24"/>
                <w:szCs w:val="24"/>
              </w:rPr>
              <w:t>s</w:t>
            </w:r>
            <w:r w:rsidRPr="00090D5B">
              <w:rPr>
                <w:sz w:val="24"/>
                <w:szCs w:val="24"/>
              </w:rPr>
              <w:t>ation (proportion of all (asymptomatic + symptomatic) infections that lead to hospitalisation) (%)</w:t>
            </w:r>
          </w:p>
        </w:tc>
      </w:tr>
      <w:tr w:rsidR="002E5A73" w:rsidRPr="00713152" w14:paraId="4B34663A" w14:textId="77777777" w:rsidTr="00A15A2B">
        <w:trPr>
          <w:trHeight w:val="350"/>
        </w:trPr>
        <w:tc>
          <w:tcPr>
            <w:tcW w:w="2042" w:type="dxa"/>
            <w:vMerge/>
            <w:shd w:val="clear" w:color="auto" w:fill="auto"/>
            <w:noWrap/>
            <w:vAlign w:val="center"/>
          </w:tcPr>
          <w:p w14:paraId="03B361F3"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p>
        </w:tc>
        <w:tc>
          <w:tcPr>
            <w:tcW w:w="2792" w:type="dxa"/>
            <w:shd w:val="clear" w:color="auto" w:fill="auto"/>
            <w:vAlign w:val="center"/>
          </w:tcPr>
          <w:p w14:paraId="13C149BF" w14:textId="77777777" w:rsidR="002E5A73" w:rsidRPr="0024252B" w:rsidRDefault="002E5A73" w:rsidP="00A15A2B">
            <w:pPr>
              <w:spacing w:before="36" w:after="36" w:line="240" w:lineRule="auto"/>
              <w:jc w:val="center"/>
              <w:rPr>
                <w:color w:val="0070C0"/>
                <w:sz w:val="24"/>
                <w:szCs w:val="24"/>
              </w:rPr>
            </w:pPr>
            <w:r w:rsidRPr="0024252B">
              <w:rPr>
                <w:color w:val="0070C0"/>
                <w:sz w:val="24"/>
                <w:szCs w:val="24"/>
              </w:rPr>
              <w:fldChar w:fldCharType="begin" w:fldLock="1"/>
            </w:r>
            <w:r>
              <w:rPr>
                <w:color w:val="0070C0"/>
                <w:sz w:val="24"/>
                <w:szCs w:val="24"/>
              </w:rPr>
              <w:instrText>ADDIN CSL_CITATION {"citationItems":[{"id":"ITEM-1","itemData":{"DOI":"10.1016/S1473-3099(20)30243-7","ISSN":"14744457","PMID":"32240634","abstract":"Background: In the face of rapidly changing data, a range of case fatality ratio estimates for coronavirus disease 2019 (COVID-19) have been produced that differ substantially in magnitude. We aimed to provide robust estimates, accounting for censoring and ascertainment biases. Methods: We collected individual-case data for patients who died from COVID-19 in Hubei, mainland China (reported by national and provincial health commissions to Feb 8, 2020), and for cases outside of mainland China (from government or ministry of health websites and media reports for 37 countries, as well as Hong Kong and Macau, until Feb 25, 2020). These individual-case data were used to estimate the time between onset of symptoms and outcome (death or discharge from hospital). We next obtained age-stratified estimates of the case fatality ratio by relating the aggregate distribution of cases to the observed cumulative deaths in China, assuming a constant attack rate by age and adjusting for demography and age-based and location-based under-ascertainment. We also estimated the case fatality ratio from individual line-list data on 1334 cases identified outside of mainland China. Using data on the prevalence of PCR-confirmed cases in international residents repatriated from China, we obtained age-stratified estimates of the infection fatality ratio. Furthermore, data on age-stratified severity in a subset of 3665 cases from China were used to estimate the proportion of infected individuals who are likely to require hospitalisation. Findings: Using data on 24 deaths that occurred in mainland China and 165 recoveries outside of China, we estimated the mean duration from onset of symptoms to death to be 17·8 days (95% credible interval [CrI] 16·9–19·2) and to hospital discharge to be 24·7 days (22·9–28·1). In all laboratory confirmed and clinically diagnosed cases from mainland China (n=70 117), we estimated a crude case fatality ratio (adjusted for censoring) of 3·67% (95% CrI 3·56–3·80). However, after further adjusting for demography and under-ascertainment, we obtained a best estimate of the case fatality ratio in China of 1·38% (1·23–1·53), with substantially higher ratios in older age groups (0·32% [0·27–0·38] in those aged &lt;60 years vs 6·4% [5·7–7·2] in those aged ≥60 years), up to 13·4% (11·2–15·9) in those aged 80 years or older. Estimates of case fatality ratio from international cases stratified by age were consistent with those from China (parametric estimate 1·4% [0·4–…","author":[{"dropping-particle":"","family":"Verity","given":"Robert","non-dropping-particle":"","parse-names":false,"suffix":""},{"dropping-particle":"","family":"Okell","given":"Lucy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 G.T.","non-dropping-particle":"","parse-names":false,"suffix":""},{"dropping-particle":"","family":"Fu","given":"Han","non-dropping-particle":"","parse-names":false,"suffix":""},{"dropping-particle":"","family":"Dighe","given":"Amy","non-dropping-particle":"","parse-names":false,"suffix":""},{"dropping-particle":"","family":"Griffin","given":"Jamie T.","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ori","given":"Anne","non-dropping-particle":"","parse-names":false,"suffix":""},{"dropping-particle":"","family":"Cucunubá","given":"Zulma","non-dropping-particle":"","parse-names":false,"suffix":""},{"dropping-particle":"","family":"FitzJohn","given":"Rich","non-dropping-particle":"","parse-names":false,"suffix":""},{"dropping-particle":"","family":"Gaythorpe","given":"Katy","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Elsland","given":"Sabine","non-dropping-particle":"van","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oyue","non-dropping-particle":"","parse-names":false,"suffix":""},{"dropping-particle":"","family":"Donnelly","given":"Christl A.","non-dropping-particle":"","parse-names":false,"suffix":""},{"dropping-particle":"","family":"Ghani","given":"Azra C.","non-dropping-particle":"","parse-names":false,"suffix":""},{"dropping-particle":"","family":"Ferguson","given":"Neil M.","non-dropping-particle":"","parse-names":false,"suffix":""}],"container-title":"The Lancet Infectious Diseases","id":"ITEM-1","issue":"6","issued":{"date-parts":[["2020","6","1"]]},"page":"669-677","publisher":"Lancet Publishing Group","title":"Estimates of the severity of coronavirus disease 2019: a model-based analysis","type":"article-journal","volume":"20"},"uris":["http://www.mendeley.com/documents/?uuid=70448aa1-e360-3b94-abb8-9618d51bbb83"]}],"mendeley":{"formattedCitation":"(29)","plainTextFormattedCitation":"(29)","previouslyFormattedCitation":"(28)"},"properties":{"noteIndex":0},"schema":"https://github.com/citation-style-language/schema/raw/master/csl-citation.json"}</w:instrText>
            </w:r>
            <w:r w:rsidRPr="0024252B">
              <w:rPr>
                <w:color w:val="0070C0"/>
                <w:sz w:val="24"/>
                <w:szCs w:val="24"/>
              </w:rPr>
              <w:fldChar w:fldCharType="separate"/>
            </w:r>
            <w:r>
              <w:rPr>
                <w:color w:val="0070C0"/>
                <w:sz w:val="24"/>
                <w:szCs w:val="24"/>
              </w:rPr>
              <w:t>[</w:t>
            </w:r>
            <w:r w:rsidRPr="002518DC">
              <w:rPr>
                <w:noProof/>
                <w:color w:val="0070C0"/>
                <w:sz w:val="24"/>
                <w:szCs w:val="24"/>
              </w:rPr>
              <w:t>29</w:t>
            </w:r>
            <w:r>
              <w:rPr>
                <w:noProof/>
                <w:color w:val="0070C0"/>
                <w:sz w:val="24"/>
                <w:szCs w:val="24"/>
              </w:rPr>
              <w:t>]</w:t>
            </w:r>
            <w:r w:rsidRPr="0024252B">
              <w:rPr>
                <w:color w:val="0070C0"/>
                <w:sz w:val="24"/>
                <w:szCs w:val="24"/>
              </w:rPr>
              <w:fldChar w:fldCharType="end"/>
            </w:r>
          </w:p>
        </w:tc>
        <w:tc>
          <w:tcPr>
            <w:tcW w:w="4094" w:type="dxa"/>
            <w:shd w:val="clear" w:color="auto" w:fill="auto"/>
            <w:vAlign w:val="center"/>
          </w:tcPr>
          <w:p w14:paraId="7936ED24" w14:textId="77777777" w:rsidR="002E5A73" w:rsidRPr="0024252B" w:rsidRDefault="002E5A73" w:rsidP="00A15A2B">
            <w:pPr>
              <w:spacing w:before="36" w:after="36" w:line="240" w:lineRule="auto"/>
              <w:jc w:val="center"/>
              <w:rPr>
                <w:color w:val="0070C0"/>
                <w:sz w:val="24"/>
                <w:szCs w:val="24"/>
              </w:rPr>
            </w:pPr>
            <w:r>
              <w:rPr>
                <w:color w:val="0070C0"/>
                <w:sz w:val="24"/>
                <w:szCs w:val="24"/>
              </w:rPr>
              <w:fldChar w:fldCharType="begin" w:fldLock="1"/>
            </w:r>
            <w:r>
              <w:rPr>
                <w:color w:val="0070C0"/>
                <w:sz w:val="24"/>
                <w:szCs w:val="24"/>
              </w:rPr>
              <w:instrText>ADDIN CSL_CITATION {"citationItems":[{"id":"ITEM-1","itemData":{"DOI":"10.1016/S1473-3099(20)30243-7","ISSN":"14744457","PMID":"32240634","abstract":"Background: In the face of rapidly changing data, a range of case fatality ratio estimates for coronavirus disease 2019 (COVID-19) have been produced that differ substantially in magnitude. We aimed to provide robust estimates, accounting for censoring and ascertainment biases. Methods: We collected individual-case data for patients who died from COVID-19 in Hubei, mainland China (reported by national and provincial health commissions to Feb 8, 2020), and for cases outside of mainland China (from government or ministry of health websites and media reports for 37 countries, as well as Hong Kong and Macau, until Feb 25, 2020). These individual-case data were used to estimate the time between onset of symptoms and outcome (death or discharge from hospital). We next obtained age-stratified estimates of the case fatality ratio by relating the aggregate distribution of cases to the observed cumulative deaths in China, assuming a constant attack rate by age and adjusting for demography and age-based and location-based under-ascertainment. We also estimated the case fatality ratio from individual line-list data on 1334 cases identified outside of mainland China. Using data on the prevalence of PCR-confirmed cases in international residents repatriated from China, we obtained age-stratified estimates of the infection fatality ratio. Furthermore, data on age-stratified severity in a subset of 3665 cases from China were used to estimate the proportion of infected individuals who are likely to require hospitalisation. Findings: Using data on 24 deaths that occurred in mainland China and 165 recoveries outside of China, we estimated the mean duration from onset of symptoms to death to be 17·8 days (95% credible interval [CrI] 16·9–19·2) and to hospital discharge to be 24·7 days (22·9–28·1). In all laboratory confirmed and clinically diagnosed cases from mainland China (n=70 117), we estimated a crude case fatality ratio (adjusted for censoring) of 3·67% (95% CrI 3·56–3·80). However, after further adjusting for demography and under-ascertainment, we obtained a best estimate of the case fatality ratio in China of 1·38% (1·23–1·53), with substantially higher ratios in older age groups (0·32% [0·27–0·38] in those aged &lt;60 years vs 6·4% [5·7–7·2] in those aged ≥60 years), up to 13·4% (11·2–15·9) in those aged 80 years or older. Estimates of case fatality ratio from international cases stratified by age were consistent with those from China (parametric estimate 1·4% [0·4–…","author":[{"dropping-particle":"","family":"Verity","given":"Robert","non-dropping-particle":"","parse-names":false,"suffix":""},{"dropping-particle":"","family":"Okell","given":"Lucy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 G.T.","non-dropping-particle":"","parse-names":false,"suffix":""},{"dropping-particle":"","family":"Fu","given":"Han","non-dropping-particle":"","parse-names":false,"suffix":""},{"dropping-particle":"","family":"Dighe","given":"Amy","non-dropping-particle":"","parse-names":false,"suffix":""},{"dropping-particle":"","family":"Griffin","given":"Jamie T.","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ori","given":"Anne","non-dropping-particle":"","parse-names":false,"suffix":""},{"dropping-particle":"","family":"Cucunubá","given":"Zulma","non-dropping-particle":"","parse-names":false,"suffix":""},{"dropping-particle":"","family":"FitzJohn","given":"Rich","non-dropping-particle":"","parse-names":false,"suffix":""},{"dropping-particle":"","family":"Gaythorpe","given":"Katy","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Elsland","given":"Sabine","non-dropping-particle":"van","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oyue","non-dropping-particle":"","parse-names":false,"suffix":""},{"dropping-particle":"","family":"Donnelly","given":"Christl A.","non-dropping-particle":"","parse-names":false,"suffix":""},{"dropping-particle":"","family":"Ghani","given":"Azra C.","non-dropping-particle":"","parse-names":false,"suffix":""},{"dropping-particle":"","family":"Ferguson","given":"Neil M.","non-dropping-particle":"","parse-names":false,"suffix":""}],"container-title":"The Lancet Infectious Diseases","id":"ITEM-1","issue":"6","issued":{"date-parts":[["2020","6","1"]]},"page":"669-677","publisher":"Lancet Publishing Group","title":"Estimates of the severity of coronavirus disease 2019: a model-based analysis","type":"article-journal","volume":"20"},"uris":["http://www.mendeley.com/documents/?uuid=70448aa1-e360-3b94-abb8-9618d51bbb83"]}],"mendeley":{"formattedCitation":"(29)","manualFormatting":"[29]","plainTextFormattedCitation":"(29)","previouslyFormattedCitation":"(28)"},"properties":{"noteIndex":0},"schema":"https://github.com/citation-style-language/schema/raw/master/csl-citation.json"}</w:instrText>
            </w:r>
            <w:r>
              <w:rPr>
                <w:color w:val="0070C0"/>
                <w:sz w:val="24"/>
                <w:szCs w:val="24"/>
              </w:rPr>
              <w:fldChar w:fldCharType="separate"/>
            </w:r>
            <w:r>
              <w:rPr>
                <w:color w:val="0070C0"/>
                <w:sz w:val="24"/>
                <w:szCs w:val="24"/>
              </w:rPr>
              <w:t>[</w:t>
            </w:r>
            <w:r w:rsidRPr="002518DC">
              <w:rPr>
                <w:noProof/>
                <w:color w:val="0070C0"/>
                <w:sz w:val="24"/>
                <w:szCs w:val="24"/>
              </w:rPr>
              <w:t>29</w:t>
            </w:r>
            <w:r>
              <w:rPr>
                <w:noProof/>
                <w:color w:val="0070C0"/>
                <w:sz w:val="24"/>
                <w:szCs w:val="24"/>
              </w:rPr>
              <w:t>]</w:t>
            </w:r>
            <w:r>
              <w:rPr>
                <w:color w:val="0070C0"/>
                <w:sz w:val="24"/>
                <w:szCs w:val="24"/>
              </w:rPr>
              <w:fldChar w:fldCharType="end"/>
            </w:r>
          </w:p>
        </w:tc>
      </w:tr>
      <w:tr w:rsidR="002E5A73" w:rsidRPr="00713152" w14:paraId="08E8F284" w14:textId="77777777" w:rsidTr="00A15A2B">
        <w:trPr>
          <w:trHeight w:val="262"/>
        </w:trPr>
        <w:tc>
          <w:tcPr>
            <w:tcW w:w="2042" w:type="dxa"/>
            <w:shd w:val="clear" w:color="auto" w:fill="auto"/>
            <w:noWrap/>
            <w:vAlign w:val="bottom"/>
            <w:hideMark/>
          </w:tcPr>
          <w:p w14:paraId="3442AB7E"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w:t>
            </w:r>
            <w:r>
              <w:rPr>
                <w:rFonts w:ascii="Calibri" w:eastAsia="Times New Roman" w:hAnsi="Calibri" w:cs="Calibri"/>
                <w:color w:val="000000"/>
                <w:sz w:val="24"/>
                <w:szCs w:val="24"/>
                <w:lang w:eastAsia="en-GB"/>
              </w:rPr>
              <w:t>–4</w:t>
            </w:r>
          </w:p>
        </w:tc>
        <w:tc>
          <w:tcPr>
            <w:tcW w:w="2792" w:type="dxa"/>
            <w:shd w:val="clear" w:color="auto" w:fill="auto"/>
            <w:noWrap/>
            <w:vAlign w:val="bottom"/>
            <w:hideMark/>
          </w:tcPr>
          <w:p w14:paraId="7CB9D43D"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0.0016</w:t>
            </w:r>
          </w:p>
        </w:tc>
        <w:tc>
          <w:tcPr>
            <w:tcW w:w="4094" w:type="dxa"/>
            <w:shd w:val="clear" w:color="auto" w:fill="auto"/>
            <w:noWrap/>
            <w:vAlign w:val="bottom"/>
            <w:hideMark/>
          </w:tcPr>
          <w:p w14:paraId="001035B4"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w:t>
            </w:r>
          </w:p>
        </w:tc>
      </w:tr>
      <w:tr w:rsidR="002E5A73" w:rsidRPr="00713152" w14:paraId="358CE62A" w14:textId="77777777" w:rsidTr="00A15A2B">
        <w:trPr>
          <w:trHeight w:val="262"/>
        </w:trPr>
        <w:tc>
          <w:tcPr>
            <w:tcW w:w="2042" w:type="dxa"/>
            <w:shd w:val="clear" w:color="auto" w:fill="auto"/>
            <w:noWrap/>
            <w:vAlign w:val="bottom"/>
            <w:hideMark/>
          </w:tcPr>
          <w:p w14:paraId="6BAC674D"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5</w:t>
            </w:r>
            <w:r>
              <w:rPr>
                <w:rFonts w:ascii="Calibri" w:eastAsia="Times New Roman" w:hAnsi="Calibri" w:cs="Calibri"/>
                <w:color w:val="000000"/>
                <w:sz w:val="24"/>
                <w:szCs w:val="24"/>
                <w:lang w:eastAsia="en-GB"/>
              </w:rPr>
              <w:t>–9</w:t>
            </w:r>
          </w:p>
        </w:tc>
        <w:tc>
          <w:tcPr>
            <w:tcW w:w="2792" w:type="dxa"/>
            <w:shd w:val="clear" w:color="auto" w:fill="auto"/>
            <w:noWrap/>
            <w:vAlign w:val="bottom"/>
            <w:hideMark/>
          </w:tcPr>
          <w:p w14:paraId="5003E90E"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0.0016</w:t>
            </w:r>
          </w:p>
        </w:tc>
        <w:tc>
          <w:tcPr>
            <w:tcW w:w="4094" w:type="dxa"/>
            <w:shd w:val="clear" w:color="auto" w:fill="auto"/>
            <w:noWrap/>
            <w:vAlign w:val="bottom"/>
            <w:hideMark/>
          </w:tcPr>
          <w:p w14:paraId="41109E12"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w:t>
            </w:r>
          </w:p>
        </w:tc>
      </w:tr>
      <w:tr w:rsidR="002E5A73" w:rsidRPr="00713152" w14:paraId="6A27D58F" w14:textId="77777777" w:rsidTr="00A15A2B">
        <w:trPr>
          <w:trHeight w:val="262"/>
        </w:trPr>
        <w:tc>
          <w:tcPr>
            <w:tcW w:w="2042" w:type="dxa"/>
            <w:shd w:val="clear" w:color="auto" w:fill="auto"/>
            <w:noWrap/>
            <w:vAlign w:val="bottom"/>
            <w:hideMark/>
          </w:tcPr>
          <w:p w14:paraId="7966B9FD"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1</w:t>
            </w:r>
            <w:r>
              <w:rPr>
                <w:rFonts w:ascii="Calibri" w:eastAsia="Times New Roman" w:hAnsi="Calibri" w:cs="Calibri"/>
                <w:color w:val="000000"/>
                <w:sz w:val="24"/>
                <w:szCs w:val="24"/>
                <w:lang w:eastAsia="en-GB"/>
              </w:rPr>
              <w:t>4</w:t>
            </w:r>
          </w:p>
        </w:tc>
        <w:tc>
          <w:tcPr>
            <w:tcW w:w="2792" w:type="dxa"/>
            <w:shd w:val="clear" w:color="auto" w:fill="auto"/>
            <w:noWrap/>
            <w:vAlign w:val="bottom"/>
            <w:hideMark/>
          </w:tcPr>
          <w:p w14:paraId="74FA0BDA"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0.007</w:t>
            </w:r>
          </w:p>
        </w:tc>
        <w:tc>
          <w:tcPr>
            <w:tcW w:w="4094" w:type="dxa"/>
            <w:shd w:val="clear" w:color="auto" w:fill="auto"/>
            <w:noWrap/>
            <w:vAlign w:val="bottom"/>
            <w:hideMark/>
          </w:tcPr>
          <w:p w14:paraId="37A5AE98"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0.04</w:t>
            </w:r>
          </w:p>
        </w:tc>
      </w:tr>
      <w:tr w:rsidR="002E5A73" w:rsidRPr="00713152" w14:paraId="1F311791" w14:textId="77777777" w:rsidTr="00A15A2B">
        <w:trPr>
          <w:trHeight w:val="262"/>
        </w:trPr>
        <w:tc>
          <w:tcPr>
            <w:tcW w:w="2042" w:type="dxa"/>
            <w:shd w:val="clear" w:color="auto" w:fill="auto"/>
            <w:noWrap/>
            <w:vAlign w:val="bottom"/>
            <w:hideMark/>
          </w:tcPr>
          <w:p w14:paraId="1538AEB6"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15</w:t>
            </w:r>
            <w:r>
              <w:rPr>
                <w:rFonts w:ascii="Calibri" w:eastAsia="Times New Roman" w:hAnsi="Calibri" w:cs="Calibri"/>
                <w:color w:val="000000"/>
                <w:sz w:val="24"/>
                <w:szCs w:val="24"/>
                <w:lang w:eastAsia="en-GB"/>
              </w:rPr>
              <w:t>–19</w:t>
            </w:r>
          </w:p>
        </w:tc>
        <w:tc>
          <w:tcPr>
            <w:tcW w:w="2792" w:type="dxa"/>
            <w:shd w:val="clear" w:color="auto" w:fill="auto"/>
            <w:noWrap/>
            <w:vAlign w:val="bottom"/>
            <w:hideMark/>
          </w:tcPr>
          <w:p w14:paraId="3A9334D7"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0.007</w:t>
            </w:r>
          </w:p>
        </w:tc>
        <w:tc>
          <w:tcPr>
            <w:tcW w:w="4094" w:type="dxa"/>
            <w:shd w:val="clear" w:color="auto" w:fill="auto"/>
            <w:noWrap/>
            <w:vAlign w:val="bottom"/>
            <w:hideMark/>
          </w:tcPr>
          <w:p w14:paraId="3C5EE2D7"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0.04</w:t>
            </w:r>
          </w:p>
        </w:tc>
      </w:tr>
      <w:tr w:rsidR="002E5A73" w:rsidRPr="00713152" w14:paraId="7C82B8E6" w14:textId="77777777" w:rsidTr="00A15A2B">
        <w:trPr>
          <w:trHeight w:val="262"/>
        </w:trPr>
        <w:tc>
          <w:tcPr>
            <w:tcW w:w="2042" w:type="dxa"/>
            <w:shd w:val="clear" w:color="auto" w:fill="auto"/>
            <w:noWrap/>
            <w:vAlign w:val="bottom"/>
            <w:hideMark/>
          </w:tcPr>
          <w:p w14:paraId="3961D7C3"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20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2</w:t>
            </w:r>
            <w:r>
              <w:rPr>
                <w:rFonts w:ascii="Calibri" w:eastAsia="Times New Roman" w:hAnsi="Calibri" w:cs="Calibri"/>
                <w:color w:val="000000"/>
                <w:sz w:val="24"/>
                <w:szCs w:val="24"/>
                <w:lang w:eastAsia="en-GB"/>
              </w:rPr>
              <w:t>4</w:t>
            </w:r>
          </w:p>
        </w:tc>
        <w:tc>
          <w:tcPr>
            <w:tcW w:w="2792" w:type="dxa"/>
            <w:shd w:val="clear" w:color="auto" w:fill="auto"/>
            <w:noWrap/>
            <w:vAlign w:val="bottom"/>
            <w:hideMark/>
          </w:tcPr>
          <w:p w14:paraId="799F359E"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0.031</w:t>
            </w:r>
          </w:p>
        </w:tc>
        <w:tc>
          <w:tcPr>
            <w:tcW w:w="4094" w:type="dxa"/>
            <w:shd w:val="clear" w:color="auto" w:fill="auto"/>
            <w:noWrap/>
            <w:vAlign w:val="bottom"/>
            <w:hideMark/>
          </w:tcPr>
          <w:p w14:paraId="6BD8F02C"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1.1</w:t>
            </w:r>
          </w:p>
        </w:tc>
      </w:tr>
      <w:tr w:rsidR="002E5A73" w:rsidRPr="00713152" w14:paraId="2D0C28B5" w14:textId="77777777" w:rsidTr="00A15A2B">
        <w:trPr>
          <w:trHeight w:val="262"/>
        </w:trPr>
        <w:tc>
          <w:tcPr>
            <w:tcW w:w="2042" w:type="dxa"/>
            <w:shd w:val="clear" w:color="auto" w:fill="auto"/>
            <w:noWrap/>
            <w:vAlign w:val="bottom"/>
            <w:hideMark/>
          </w:tcPr>
          <w:p w14:paraId="3DFC4591"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25</w:t>
            </w:r>
            <w:r>
              <w:rPr>
                <w:rFonts w:ascii="Calibri" w:eastAsia="Times New Roman" w:hAnsi="Calibri" w:cs="Calibri"/>
                <w:color w:val="000000"/>
                <w:sz w:val="24"/>
                <w:szCs w:val="24"/>
                <w:lang w:eastAsia="en-GB"/>
              </w:rPr>
              <w:t>–29</w:t>
            </w:r>
          </w:p>
        </w:tc>
        <w:tc>
          <w:tcPr>
            <w:tcW w:w="2792" w:type="dxa"/>
            <w:shd w:val="clear" w:color="auto" w:fill="auto"/>
            <w:noWrap/>
            <w:vAlign w:val="bottom"/>
            <w:hideMark/>
          </w:tcPr>
          <w:p w14:paraId="1205A8D1"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0.031</w:t>
            </w:r>
          </w:p>
        </w:tc>
        <w:tc>
          <w:tcPr>
            <w:tcW w:w="4094" w:type="dxa"/>
            <w:shd w:val="clear" w:color="auto" w:fill="auto"/>
            <w:noWrap/>
            <w:vAlign w:val="bottom"/>
            <w:hideMark/>
          </w:tcPr>
          <w:p w14:paraId="7E2A04EE"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1.1</w:t>
            </w:r>
          </w:p>
        </w:tc>
      </w:tr>
      <w:tr w:rsidR="002E5A73" w:rsidRPr="00713152" w14:paraId="5D4CC922" w14:textId="77777777" w:rsidTr="00A15A2B">
        <w:trPr>
          <w:trHeight w:val="262"/>
        </w:trPr>
        <w:tc>
          <w:tcPr>
            <w:tcW w:w="2042" w:type="dxa"/>
            <w:shd w:val="clear" w:color="auto" w:fill="auto"/>
            <w:noWrap/>
            <w:vAlign w:val="bottom"/>
            <w:hideMark/>
          </w:tcPr>
          <w:p w14:paraId="4682602D"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30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3</w:t>
            </w:r>
            <w:r>
              <w:rPr>
                <w:rFonts w:ascii="Calibri" w:eastAsia="Times New Roman" w:hAnsi="Calibri" w:cs="Calibri"/>
                <w:color w:val="000000"/>
                <w:sz w:val="24"/>
                <w:szCs w:val="24"/>
                <w:lang w:eastAsia="en-GB"/>
              </w:rPr>
              <w:t>4</w:t>
            </w:r>
          </w:p>
        </w:tc>
        <w:tc>
          <w:tcPr>
            <w:tcW w:w="2792" w:type="dxa"/>
            <w:shd w:val="clear" w:color="auto" w:fill="auto"/>
            <w:noWrap/>
            <w:vAlign w:val="bottom"/>
            <w:hideMark/>
          </w:tcPr>
          <w:p w14:paraId="12B06F93"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0.26</w:t>
            </w:r>
          </w:p>
        </w:tc>
        <w:tc>
          <w:tcPr>
            <w:tcW w:w="4094" w:type="dxa"/>
            <w:shd w:val="clear" w:color="auto" w:fill="auto"/>
            <w:noWrap/>
            <w:vAlign w:val="bottom"/>
            <w:hideMark/>
          </w:tcPr>
          <w:p w14:paraId="15B509FC"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3.43</w:t>
            </w:r>
          </w:p>
        </w:tc>
      </w:tr>
      <w:tr w:rsidR="002E5A73" w:rsidRPr="00713152" w14:paraId="4753732C" w14:textId="77777777" w:rsidTr="00A15A2B">
        <w:trPr>
          <w:trHeight w:val="262"/>
        </w:trPr>
        <w:tc>
          <w:tcPr>
            <w:tcW w:w="2042" w:type="dxa"/>
            <w:shd w:val="clear" w:color="auto" w:fill="auto"/>
            <w:noWrap/>
            <w:vAlign w:val="bottom"/>
            <w:hideMark/>
          </w:tcPr>
          <w:p w14:paraId="65CD0D38"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35</w:t>
            </w:r>
            <w:r>
              <w:rPr>
                <w:rFonts w:ascii="Calibri" w:eastAsia="Times New Roman" w:hAnsi="Calibri" w:cs="Calibri"/>
                <w:color w:val="000000"/>
                <w:sz w:val="24"/>
                <w:szCs w:val="24"/>
                <w:lang w:eastAsia="en-GB"/>
              </w:rPr>
              <w:t>–39</w:t>
            </w:r>
          </w:p>
        </w:tc>
        <w:tc>
          <w:tcPr>
            <w:tcW w:w="2792" w:type="dxa"/>
            <w:shd w:val="clear" w:color="auto" w:fill="auto"/>
            <w:noWrap/>
            <w:vAlign w:val="bottom"/>
            <w:hideMark/>
          </w:tcPr>
          <w:p w14:paraId="0680FE74"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0.26</w:t>
            </w:r>
          </w:p>
        </w:tc>
        <w:tc>
          <w:tcPr>
            <w:tcW w:w="4094" w:type="dxa"/>
            <w:shd w:val="clear" w:color="auto" w:fill="auto"/>
            <w:noWrap/>
            <w:vAlign w:val="bottom"/>
            <w:hideMark/>
          </w:tcPr>
          <w:p w14:paraId="1DAE6B34"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3.43</w:t>
            </w:r>
          </w:p>
        </w:tc>
      </w:tr>
      <w:tr w:rsidR="002E5A73" w:rsidRPr="00713152" w14:paraId="19892AD2" w14:textId="77777777" w:rsidTr="00A15A2B">
        <w:trPr>
          <w:trHeight w:val="262"/>
        </w:trPr>
        <w:tc>
          <w:tcPr>
            <w:tcW w:w="2042" w:type="dxa"/>
            <w:shd w:val="clear" w:color="auto" w:fill="auto"/>
            <w:noWrap/>
            <w:vAlign w:val="bottom"/>
            <w:hideMark/>
          </w:tcPr>
          <w:p w14:paraId="67762B2F"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4</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3B639FDD"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0.48</w:t>
            </w:r>
          </w:p>
        </w:tc>
        <w:tc>
          <w:tcPr>
            <w:tcW w:w="4094" w:type="dxa"/>
            <w:shd w:val="clear" w:color="auto" w:fill="auto"/>
            <w:noWrap/>
            <w:vAlign w:val="bottom"/>
            <w:hideMark/>
          </w:tcPr>
          <w:p w14:paraId="77F8A970"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4.25</w:t>
            </w:r>
          </w:p>
        </w:tc>
      </w:tr>
      <w:tr w:rsidR="002E5A73" w:rsidRPr="00713152" w14:paraId="301FA41E" w14:textId="77777777" w:rsidTr="00A15A2B">
        <w:trPr>
          <w:trHeight w:val="262"/>
        </w:trPr>
        <w:tc>
          <w:tcPr>
            <w:tcW w:w="2042" w:type="dxa"/>
            <w:shd w:val="clear" w:color="auto" w:fill="auto"/>
            <w:noWrap/>
            <w:vAlign w:val="bottom"/>
            <w:hideMark/>
          </w:tcPr>
          <w:p w14:paraId="3E3C7AF4"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45</w:t>
            </w:r>
            <w:r>
              <w:rPr>
                <w:rFonts w:ascii="Calibri" w:eastAsia="Times New Roman" w:hAnsi="Calibri" w:cs="Calibri"/>
                <w:color w:val="000000"/>
                <w:sz w:val="24"/>
                <w:szCs w:val="24"/>
                <w:lang w:eastAsia="en-GB"/>
              </w:rPr>
              <w:t>–49</w:t>
            </w:r>
          </w:p>
        </w:tc>
        <w:tc>
          <w:tcPr>
            <w:tcW w:w="2792" w:type="dxa"/>
            <w:shd w:val="clear" w:color="auto" w:fill="auto"/>
            <w:noWrap/>
            <w:vAlign w:val="bottom"/>
            <w:hideMark/>
          </w:tcPr>
          <w:p w14:paraId="3145B31D"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0.48</w:t>
            </w:r>
          </w:p>
        </w:tc>
        <w:tc>
          <w:tcPr>
            <w:tcW w:w="4094" w:type="dxa"/>
            <w:shd w:val="clear" w:color="auto" w:fill="auto"/>
            <w:noWrap/>
            <w:vAlign w:val="bottom"/>
            <w:hideMark/>
          </w:tcPr>
          <w:p w14:paraId="59F53C85"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4.25</w:t>
            </w:r>
          </w:p>
        </w:tc>
      </w:tr>
      <w:tr w:rsidR="002E5A73" w:rsidRPr="00713152" w14:paraId="7B8B8CF3" w14:textId="77777777" w:rsidTr="00A15A2B">
        <w:trPr>
          <w:trHeight w:val="262"/>
        </w:trPr>
        <w:tc>
          <w:tcPr>
            <w:tcW w:w="2042" w:type="dxa"/>
            <w:shd w:val="clear" w:color="auto" w:fill="auto"/>
            <w:noWrap/>
            <w:vAlign w:val="bottom"/>
            <w:hideMark/>
          </w:tcPr>
          <w:p w14:paraId="48E7D8A8"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50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5</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016F82FF"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0.6</w:t>
            </w:r>
          </w:p>
        </w:tc>
        <w:tc>
          <w:tcPr>
            <w:tcW w:w="4094" w:type="dxa"/>
            <w:shd w:val="clear" w:color="auto" w:fill="auto"/>
            <w:noWrap/>
            <w:vAlign w:val="bottom"/>
            <w:hideMark/>
          </w:tcPr>
          <w:p w14:paraId="2E011B92"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8.2</w:t>
            </w:r>
          </w:p>
        </w:tc>
      </w:tr>
      <w:tr w:rsidR="002E5A73" w:rsidRPr="00713152" w14:paraId="55C79A7A" w14:textId="77777777" w:rsidTr="00A15A2B">
        <w:trPr>
          <w:trHeight w:val="262"/>
        </w:trPr>
        <w:tc>
          <w:tcPr>
            <w:tcW w:w="2042" w:type="dxa"/>
            <w:shd w:val="clear" w:color="auto" w:fill="auto"/>
            <w:noWrap/>
            <w:vAlign w:val="bottom"/>
            <w:hideMark/>
          </w:tcPr>
          <w:p w14:paraId="33AB349C"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55</w:t>
            </w:r>
            <w:r>
              <w:rPr>
                <w:rFonts w:ascii="Calibri" w:eastAsia="Times New Roman" w:hAnsi="Calibri" w:cs="Calibri"/>
                <w:color w:val="000000"/>
                <w:sz w:val="24"/>
                <w:szCs w:val="24"/>
                <w:lang w:eastAsia="en-GB"/>
              </w:rPr>
              <w:t>–59</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4A0E1D50"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0.6</w:t>
            </w:r>
          </w:p>
        </w:tc>
        <w:tc>
          <w:tcPr>
            <w:tcW w:w="4094" w:type="dxa"/>
            <w:shd w:val="clear" w:color="auto" w:fill="auto"/>
            <w:noWrap/>
            <w:vAlign w:val="bottom"/>
            <w:hideMark/>
          </w:tcPr>
          <w:p w14:paraId="1A875B55"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8.2</w:t>
            </w:r>
          </w:p>
        </w:tc>
      </w:tr>
      <w:tr w:rsidR="002E5A73" w:rsidRPr="00713152" w14:paraId="6CC17091" w14:textId="77777777" w:rsidTr="00A15A2B">
        <w:trPr>
          <w:trHeight w:val="262"/>
        </w:trPr>
        <w:tc>
          <w:tcPr>
            <w:tcW w:w="2042" w:type="dxa"/>
            <w:shd w:val="clear" w:color="auto" w:fill="auto"/>
            <w:noWrap/>
            <w:vAlign w:val="bottom"/>
            <w:hideMark/>
          </w:tcPr>
          <w:p w14:paraId="657E28EA"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60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6</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33F476BF"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1.9</w:t>
            </w:r>
          </w:p>
        </w:tc>
        <w:tc>
          <w:tcPr>
            <w:tcW w:w="4094" w:type="dxa"/>
            <w:shd w:val="clear" w:color="auto" w:fill="auto"/>
            <w:noWrap/>
            <w:vAlign w:val="bottom"/>
            <w:hideMark/>
          </w:tcPr>
          <w:p w14:paraId="447C39C7"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11.8</w:t>
            </w:r>
          </w:p>
        </w:tc>
      </w:tr>
      <w:tr w:rsidR="002E5A73" w:rsidRPr="00713152" w14:paraId="72F69777" w14:textId="77777777" w:rsidTr="00A15A2B">
        <w:trPr>
          <w:trHeight w:val="262"/>
        </w:trPr>
        <w:tc>
          <w:tcPr>
            <w:tcW w:w="2042" w:type="dxa"/>
            <w:shd w:val="clear" w:color="auto" w:fill="auto"/>
            <w:noWrap/>
            <w:vAlign w:val="bottom"/>
            <w:hideMark/>
          </w:tcPr>
          <w:p w14:paraId="54084C62"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65</w:t>
            </w:r>
            <w:r>
              <w:rPr>
                <w:rFonts w:ascii="Calibri" w:eastAsia="Times New Roman" w:hAnsi="Calibri" w:cs="Calibri"/>
                <w:color w:val="000000"/>
                <w:sz w:val="24"/>
                <w:szCs w:val="24"/>
                <w:lang w:eastAsia="en-GB"/>
              </w:rPr>
              <w:t>–69</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5D67200B"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1.9</w:t>
            </w:r>
          </w:p>
        </w:tc>
        <w:tc>
          <w:tcPr>
            <w:tcW w:w="4094" w:type="dxa"/>
            <w:shd w:val="clear" w:color="auto" w:fill="auto"/>
            <w:noWrap/>
            <w:vAlign w:val="bottom"/>
            <w:hideMark/>
          </w:tcPr>
          <w:p w14:paraId="58453B08"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11.8</w:t>
            </w:r>
          </w:p>
        </w:tc>
      </w:tr>
      <w:tr w:rsidR="002E5A73" w:rsidRPr="00713152" w14:paraId="7B335508" w14:textId="77777777" w:rsidTr="00A15A2B">
        <w:trPr>
          <w:trHeight w:val="262"/>
        </w:trPr>
        <w:tc>
          <w:tcPr>
            <w:tcW w:w="2042" w:type="dxa"/>
            <w:shd w:val="clear" w:color="auto" w:fill="auto"/>
            <w:noWrap/>
            <w:vAlign w:val="bottom"/>
            <w:hideMark/>
          </w:tcPr>
          <w:p w14:paraId="791DB034"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7</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02FDC463"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4.3</w:t>
            </w:r>
          </w:p>
        </w:tc>
        <w:tc>
          <w:tcPr>
            <w:tcW w:w="4094" w:type="dxa"/>
            <w:shd w:val="clear" w:color="auto" w:fill="auto"/>
            <w:noWrap/>
            <w:vAlign w:val="bottom"/>
            <w:hideMark/>
          </w:tcPr>
          <w:p w14:paraId="5C63C96D"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16.6</w:t>
            </w:r>
          </w:p>
        </w:tc>
      </w:tr>
      <w:tr w:rsidR="002E5A73" w:rsidRPr="00713152" w14:paraId="4D1031C5" w14:textId="77777777" w:rsidTr="00A15A2B">
        <w:trPr>
          <w:trHeight w:val="262"/>
        </w:trPr>
        <w:tc>
          <w:tcPr>
            <w:tcW w:w="2042" w:type="dxa"/>
            <w:shd w:val="clear" w:color="auto" w:fill="auto"/>
            <w:noWrap/>
            <w:vAlign w:val="bottom"/>
            <w:hideMark/>
          </w:tcPr>
          <w:p w14:paraId="7B51FD1A"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75</w:t>
            </w:r>
            <w:r>
              <w:rPr>
                <w:rFonts w:ascii="Calibri" w:eastAsia="Times New Roman" w:hAnsi="Calibri" w:cs="Calibri"/>
                <w:color w:val="000000"/>
                <w:sz w:val="24"/>
                <w:szCs w:val="24"/>
                <w:lang w:eastAsia="en-GB"/>
              </w:rPr>
              <w:t>–79</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1367CF8D"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4.3</w:t>
            </w:r>
          </w:p>
        </w:tc>
        <w:tc>
          <w:tcPr>
            <w:tcW w:w="4094" w:type="dxa"/>
            <w:shd w:val="clear" w:color="auto" w:fill="auto"/>
            <w:noWrap/>
            <w:vAlign w:val="bottom"/>
            <w:hideMark/>
          </w:tcPr>
          <w:p w14:paraId="10920681"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16.6</w:t>
            </w:r>
          </w:p>
        </w:tc>
      </w:tr>
      <w:tr w:rsidR="002E5A73" w:rsidRPr="00713152" w14:paraId="1A7A66AF" w14:textId="77777777" w:rsidTr="00A15A2B">
        <w:trPr>
          <w:trHeight w:val="262"/>
        </w:trPr>
        <w:tc>
          <w:tcPr>
            <w:tcW w:w="2042" w:type="dxa"/>
            <w:shd w:val="clear" w:color="auto" w:fill="auto"/>
            <w:noWrap/>
            <w:vAlign w:val="bottom"/>
            <w:hideMark/>
          </w:tcPr>
          <w:p w14:paraId="0152212C"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80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8</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46CF36DA"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7.8</w:t>
            </w:r>
          </w:p>
        </w:tc>
        <w:tc>
          <w:tcPr>
            <w:tcW w:w="4094" w:type="dxa"/>
            <w:shd w:val="clear" w:color="auto" w:fill="auto"/>
            <w:noWrap/>
            <w:vAlign w:val="bottom"/>
            <w:hideMark/>
          </w:tcPr>
          <w:p w14:paraId="167826EF"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18.4</w:t>
            </w:r>
          </w:p>
        </w:tc>
      </w:tr>
      <w:tr w:rsidR="002E5A73" w:rsidRPr="00713152" w14:paraId="28534EEF" w14:textId="77777777" w:rsidTr="00A15A2B">
        <w:trPr>
          <w:trHeight w:val="262"/>
        </w:trPr>
        <w:tc>
          <w:tcPr>
            <w:tcW w:w="2042" w:type="dxa"/>
            <w:shd w:val="clear" w:color="auto" w:fill="auto"/>
            <w:noWrap/>
            <w:vAlign w:val="bottom"/>
            <w:hideMark/>
          </w:tcPr>
          <w:p w14:paraId="64C20277"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85</w:t>
            </w:r>
            <w:r>
              <w:rPr>
                <w:rFonts w:ascii="Calibri" w:eastAsia="Times New Roman" w:hAnsi="Calibri" w:cs="Calibri"/>
                <w:color w:val="000000"/>
                <w:sz w:val="24"/>
                <w:szCs w:val="24"/>
                <w:lang w:eastAsia="en-GB"/>
              </w:rPr>
              <w:t>–89</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01E58698"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7.8</w:t>
            </w:r>
          </w:p>
        </w:tc>
        <w:tc>
          <w:tcPr>
            <w:tcW w:w="4094" w:type="dxa"/>
            <w:shd w:val="clear" w:color="auto" w:fill="auto"/>
            <w:noWrap/>
            <w:vAlign w:val="bottom"/>
            <w:hideMark/>
          </w:tcPr>
          <w:p w14:paraId="5D693641"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18.4</w:t>
            </w:r>
          </w:p>
        </w:tc>
      </w:tr>
      <w:tr w:rsidR="002E5A73" w:rsidRPr="00713152" w14:paraId="1166D61D" w14:textId="77777777" w:rsidTr="00A15A2B">
        <w:trPr>
          <w:trHeight w:val="262"/>
        </w:trPr>
        <w:tc>
          <w:tcPr>
            <w:tcW w:w="2042" w:type="dxa"/>
            <w:shd w:val="clear" w:color="auto" w:fill="auto"/>
            <w:noWrap/>
            <w:vAlign w:val="bottom"/>
            <w:hideMark/>
          </w:tcPr>
          <w:p w14:paraId="1F07DFD9"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90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9</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0C234414"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7.8</w:t>
            </w:r>
          </w:p>
        </w:tc>
        <w:tc>
          <w:tcPr>
            <w:tcW w:w="4094" w:type="dxa"/>
            <w:shd w:val="clear" w:color="auto" w:fill="auto"/>
            <w:noWrap/>
            <w:vAlign w:val="bottom"/>
            <w:hideMark/>
          </w:tcPr>
          <w:p w14:paraId="3FF7683E"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18.4</w:t>
            </w:r>
          </w:p>
        </w:tc>
      </w:tr>
      <w:tr w:rsidR="002E5A73" w:rsidRPr="00713152" w14:paraId="7FFAD507" w14:textId="77777777" w:rsidTr="00A15A2B">
        <w:trPr>
          <w:trHeight w:val="262"/>
        </w:trPr>
        <w:tc>
          <w:tcPr>
            <w:tcW w:w="2042" w:type="dxa"/>
            <w:shd w:val="clear" w:color="auto" w:fill="auto"/>
            <w:noWrap/>
            <w:vAlign w:val="bottom"/>
            <w:hideMark/>
          </w:tcPr>
          <w:p w14:paraId="3130C3DE"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95</w:t>
            </w:r>
            <w:r>
              <w:rPr>
                <w:rFonts w:ascii="Calibri" w:eastAsia="Times New Roman" w:hAnsi="Calibri" w:cs="Calibri"/>
                <w:color w:val="000000"/>
                <w:sz w:val="24"/>
                <w:szCs w:val="24"/>
                <w:lang w:eastAsia="en-GB"/>
              </w:rPr>
              <w:t>–99</w:t>
            </w:r>
            <w:r w:rsidRPr="00713152">
              <w:rPr>
                <w:rFonts w:ascii="Calibri" w:eastAsia="Times New Roman" w:hAnsi="Calibri" w:cs="Calibri"/>
                <w:color w:val="000000"/>
                <w:sz w:val="24"/>
                <w:szCs w:val="24"/>
                <w:lang w:eastAsia="en-GB"/>
              </w:rPr>
              <w:t xml:space="preserve"> </w:t>
            </w:r>
          </w:p>
        </w:tc>
        <w:tc>
          <w:tcPr>
            <w:tcW w:w="2792" w:type="dxa"/>
            <w:shd w:val="clear" w:color="auto" w:fill="auto"/>
            <w:noWrap/>
            <w:vAlign w:val="bottom"/>
            <w:hideMark/>
          </w:tcPr>
          <w:p w14:paraId="36D6F15E"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7.8</w:t>
            </w:r>
          </w:p>
        </w:tc>
        <w:tc>
          <w:tcPr>
            <w:tcW w:w="4094" w:type="dxa"/>
            <w:shd w:val="clear" w:color="auto" w:fill="auto"/>
            <w:noWrap/>
            <w:vAlign w:val="bottom"/>
            <w:hideMark/>
          </w:tcPr>
          <w:p w14:paraId="6EF67531"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18.4</w:t>
            </w:r>
          </w:p>
        </w:tc>
      </w:tr>
      <w:tr w:rsidR="002E5A73" w:rsidRPr="00713152" w14:paraId="57A15341" w14:textId="77777777" w:rsidTr="00A15A2B">
        <w:trPr>
          <w:trHeight w:val="262"/>
        </w:trPr>
        <w:tc>
          <w:tcPr>
            <w:tcW w:w="2042" w:type="dxa"/>
            <w:shd w:val="clear" w:color="auto" w:fill="auto"/>
            <w:noWrap/>
            <w:vAlign w:val="bottom"/>
            <w:hideMark/>
          </w:tcPr>
          <w:p w14:paraId="54CB740A" w14:textId="77777777" w:rsidR="002E5A73" w:rsidRPr="00713152"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 xml:space="preserve">100+ </w:t>
            </w:r>
          </w:p>
        </w:tc>
        <w:tc>
          <w:tcPr>
            <w:tcW w:w="2792" w:type="dxa"/>
            <w:shd w:val="clear" w:color="auto" w:fill="auto"/>
            <w:noWrap/>
            <w:vAlign w:val="bottom"/>
            <w:hideMark/>
          </w:tcPr>
          <w:p w14:paraId="1C2F7F46"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7.8</w:t>
            </w:r>
          </w:p>
        </w:tc>
        <w:tc>
          <w:tcPr>
            <w:tcW w:w="4094" w:type="dxa"/>
            <w:shd w:val="clear" w:color="auto" w:fill="auto"/>
            <w:noWrap/>
            <w:vAlign w:val="bottom"/>
            <w:hideMark/>
          </w:tcPr>
          <w:p w14:paraId="65325986" w14:textId="77777777" w:rsidR="002E5A73" w:rsidRPr="00713152" w:rsidRDefault="002E5A73" w:rsidP="00A15A2B">
            <w:pPr>
              <w:spacing w:after="0" w:line="240" w:lineRule="auto"/>
              <w:jc w:val="center"/>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18.4</w:t>
            </w:r>
          </w:p>
        </w:tc>
      </w:tr>
    </w:tbl>
    <w:p w14:paraId="6303BBD4" w14:textId="77777777" w:rsidR="002E5A73" w:rsidRDefault="002E5A73" w:rsidP="002E5A73">
      <w:pPr>
        <w:spacing w:line="360" w:lineRule="auto"/>
        <w:rPr>
          <w:b/>
          <w:bCs/>
          <w:sz w:val="24"/>
          <w:szCs w:val="24"/>
        </w:rPr>
      </w:pPr>
    </w:p>
    <w:p w14:paraId="21499E57" w14:textId="77777777" w:rsidR="002E5A73" w:rsidRDefault="002E5A73" w:rsidP="002E5A73">
      <w:pPr>
        <w:spacing w:line="360" w:lineRule="auto"/>
        <w:rPr>
          <w:b/>
          <w:bCs/>
          <w:sz w:val="24"/>
          <w:szCs w:val="24"/>
        </w:rPr>
      </w:pPr>
    </w:p>
    <w:p w14:paraId="204C3FC8" w14:textId="77777777" w:rsidR="002E5A73" w:rsidRDefault="002E5A73" w:rsidP="002E5A73">
      <w:pPr>
        <w:spacing w:line="360" w:lineRule="auto"/>
        <w:rPr>
          <w:b/>
          <w:bCs/>
          <w:sz w:val="24"/>
          <w:szCs w:val="24"/>
        </w:rPr>
      </w:pPr>
    </w:p>
    <w:p w14:paraId="28379CC5" w14:textId="77777777" w:rsidR="002E5A73" w:rsidRPr="0078060E" w:rsidRDefault="002E5A73" w:rsidP="002E5A73">
      <w:pPr>
        <w:pStyle w:val="ListParagraph"/>
        <w:numPr>
          <w:ilvl w:val="0"/>
          <w:numId w:val="2"/>
        </w:numPr>
        <w:spacing w:line="360" w:lineRule="auto"/>
        <w:rPr>
          <w:b/>
          <w:bCs/>
          <w:sz w:val="24"/>
          <w:szCs w:val="24"/>
        </w:rPr>
      </w:pPr>
      <w:r>
        <w:rPr>
          <w:b/>
          <w:bCs/>
          <w:sz w:val="24"/>
          <w:szCs w:val="24"/>
        </w:rPr>
        <w:t xml:space="preserve">Population structure, birth and death rates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252"/>
        <w:gridCol w:w="2594"/>
        <w:gridCol w:w="1821"/>
      </w:tblGrid>
      <w:tr w:rsidR="002E5A73" w:rsidRPr="0078060E" w14:paraId="37FE6A7F" w14:textId="77777777" w:rsidTr="00A15A2B">
        <w:trPr>
          <w:trHeight w:val="1077"/>
        </w:trPr>
        <w:tc>
          <w:tcPr>
            <w:tcW w:w="1959" w:type="dxa"/>
            <w:shd w:val="clear" w:color="auto" w:fill="auto"/>
            <w:noWrap/>
            <w:vAlign w:val="center"/>
            <w:hideMark/>
          </w:tcPr>
          <w:p w14:paraId="7886057C" w14:textId="77777777" w:rsidR="002E5A73" w:rsidRPr="0078060E" w:rsidRDefault="002E5A73" w:rsidP="00A15A2B">
            <w:pPr>
              <w:spacing w:after="0" w:line="240" w:lineRule="auto"/>
              <w:jc w:val="center"/>
              <w:rPr>
                <w:rFonts w:ascii="Calibri" w:eastAsia="Times New Roman" w:hAnsi="Calibri" w:cs="Calibri"/>
                <w:color w:val="000000"/>
                <w:sz w:val="24"/>
                <w:szCs w:val="24"/>
                <w:lang w:eastAsia="en-GB"/>
              </w:rPr>
            </w:pPr>
            <w:r w:rsidRPr="0078060E">
              <w:rPr>
                <w:rFonts w:ascii="Calibri" w:eastAsia="Times New Roman" w:hAnsi="Calibri" w:cs="Calibri"/>
                <w:color w:val="000000"/>
                <w:sz w:val="24"/>
                <w:szCs w:val="24"/>
                <w:lang w:eastAsia="en-GB"/>
              </w:rPr>
              <w:t xml:space="preserve">Age </w:t>
            </w:r>
            <w:r>
              <w:rPr>
                <w:rFonts w:ascii="Calibri" w:eastAsia="Times New Roman" w:hAnsi="Calibri" w:cs="Calibri"/>
                <w:color w:val="000000"/>
                <w:sz w:val="24"/>
                <w:szCs w:val="24"/>
                <w:lang w:eastAsia="en-GB"/>
              </w:rPr>
              <w:t>c</w:t>
            </w:r>
            <w:r w:rsidRPr="0078060E">
              <w:rPr>
                <w:rFonts w:ascii="Calibri" w:eastAsia="Times New Roman" w:hAnsi="Calibri" w:cs="Calibri"/>
                <w:color w:val="000000"/>
                <w:sz w:val="24"/>
                <w:szCs w:val="24"/>
                <w:lang w:eastAsia="en-GB"/>
              </w:rPr>
              <w:t>ategory</w:t>
            </w:r>
          </w:p>
        </w:tc>
        <w:tc>
          <w:tcPr>
            <w:tcW w:w="2252" w:type="dxa"/>
            <w:shd w:val="clear" w:color="auto" w:fill="auto"/>
            <w:noWrap/>
            <w:vAlign w:val="center"/>
            <w:hideMark/>
          </w:tcPr>
          <w:p w14:paraId="488D50AB" w14:textId="77777777" w:rsidR="002E5A73" w:rsidRPr="0078060E" w:rsidRDefault="002E5A73" w:rsidP="00A15A2B">
            <w:pPr>
              <w:spacing w:after="0" w:line="240" w:lineRule="auto"/>
              <w:jc w:val="center"/>
              <w:rPr>
                <w:rFonts w:ascii="Calibri" w:eastAsia="Times New Roman" w:hAnsi="Calibri" w:cs="Calibri"/>
                <w:color w:val="000000"/>
                <w:sz w:val="24"/>
                <w:szCs w:val="24"/>
                <w:lang w:eastAsia="en-GB"/>
              </w:rPr>
            </w:pPr>
            <w:r w:rsidRPr="0078060E">
              <w:rPr>
                <w:rFonts w:ascii="Calibri" w:eastAsia="Times New Roman" w:hAnsi="Calibri" w:cs="Calibri"/>
                <w:color w:val="000000"/>
                <w:sz w:val="24"/>
                <w:szCs w:val="24"/>
                <w:lang w:eastAsia="en-GB"/>
              </w:rPr>
              <w:t>Population</w:t>
            </w:r>
          </w:p>
        </w:tc>
        <w:tc>
          <w:tcPr>
            <w:tcW w:w="2594" w:type="dxa"/>
            <w:shd w:val="clear" w:color="auto" w:fill="auto"/>
            <w:vAlign w:val="center"/>
            <w:hideMark/>
          </w:tcPr>
          <w:p w14:paraId="705C9C3D" w14:textId="77777777" w:rsidR="002E5A73" w:rsidRPr="0078060E" w:rsidRDefault="002E5A73" w:rsidP="00A15A2B">
            <w:pPr>
              <w:spacing w:after="0" w:line="240" w:lineRule="auto"/>
              <w:jc w:val="center"/>
              <w:rPr>
                <w:rFonts w:ascii="Calibri" w:eastAsia="Times New Roman" w:hAnsi="Calibri" w:cs="Calibri"/>
                <w:color w:val="000000"/>
                <w:sz w:val="24"/>
                <w:szCs w:val="24"/>
                <w:lang w:eastAsia="en-GB"/>
              </w:rPr>
            </w:pPr>
            <w:r w:rsidRPr="0078060E">
              <w:rPr>
                <w:rFonts w:ascii="Calibri" w:eastAsia="Times New Roman" w:hAnsi="Calibri" w:cs="Calibri"/>
                <w:color w:val="000000"/>
                <w:sz w:val="24"/>
                <w:szCs w:val="24"/>
                <w:lang w:eastAsia="en-GB"/>
              </w:rPr>
              <w:t>Number of births per person (i</w:t>
            </w:r>
            <w:r>
              <w:rPr>
                <w:rFonts w:ascii="Calibri" w:eastAsia="Times New Roman" w:hAnsi="Calibri" w:cs="Calibri"/>
                <w:color w:val="000000"/>
                <w:sz w:val="24"/>
                <w:szCs w:val="24"/>
                <w:lang w:eastAsia="en-GB"/>
              </w:rPr>
              <w:t>.</w:t>
            </w:r>
            <w:r w:rsidRPr="0078060E">
              <w:rPr>
                <w:rFonts w:ascii="Calibri" w:eastAsia="Times New Roman" w:hAnsi="Calibri" w:cs="Calibri"/>
                <w:color w:val="000000"/>
                <w:sz w:val="24"/>
                <w:szCs w:val="24"/>
                <w:lang w:eastAsia="en-GB"/>
              </w:rPr>
              <w:t>e</w:t>
            </w:r>
            <w:r>
              <w:rPr>
                <w:rFonts w:ascii="Calibri" w:eastAsia="Times New Roman" w:hAnsi="Calibri" w:cs="Calibri"/>
                <w:color w:val="000000"/>
                <w:sz w:val="24"/>
                <w:szCs w:val="24"/>
                <w:lang w:eastAsia="en-GB"/>
              </w:rPr>
              <w:t>.</w:t>
            </w:r>
            <w:r w:rsidRPr="0078060E">
              <w:rPr>
                <w:rFonts w:ascii="Calibri" w:eastAsia="Times New Roman" w:hAnsi="Calibri" w:cs="Calibri"/>
                <w:color w:val="000000"/>
                <w:sz w:val="24"/>
                <w:szCs w:val="24"/>
                <w:lang w:eastAsia="en-GB"/>
              </w:rPr>
              <w:t xml:space="preserve"> 0.5* births per woman) per day</w:t>
            </w:r>
          </w:p>
        </w:tc>
        <w:tc>
          <w:tcPr>
            <w:tcW w:w="1821" w:type="dxa"/>
            <w:shd w:val="clear" w:color="auto" w:fill="auto"/>
            <w:vAlign w:val="center"/>
            <w:hideMark/>
          </w:tcPr>
          <w:p w14:paraId="2BE2D47C" w14:textId="77777777" w:rsidR="002E5A73" w:rsidRPr="0078060E" w:rsidRDefault="002E5A73" w:rsidP="00A15A2B">
            <w:pPr>
              <w:spacing w:after="0" w:line="240" w:lineRule="auto"/>
              <w:jc w:val="center"/>
              <w:rPr>
                <w:rFonts w:ascii="Calibri" w:eastAsia="Times New Roman" w:hAnsi="Calibri" w:cs="Calibri"/>
                <w:color w:val="000000"/>
                <w:sz w:val="24"/>
                <w:szCs w:val="24"/>
                <w:lang w:eastAsia="en-GB"/>
              </w:rPr>
            </w:pPr>
            <w:r w:rsidRPr="0078060E">
              <w:rPr>
                <w:rFonts w:ascii="Calibri" w:eastAsia="Times New Roman" w:hAnsi="Calibri" w:cs="Calibri"/>
                <w:color w:val="000000"/>
                <w:sz w:val="24"/>
                <w:szCs w:val="24"/>
                <w:lang w:eastAsia="en-GB"/>
              </w:rPr>
              <w:t>Deaths per person per day</w:t>
            </w:r>
          </w:p>
        </w:tc>
      </w:tr>
      <w:tr w:rsidR="002E5A73" w:rsidRPr="0078060E" w14:paraId="1CD7BFA3" w14:textId="77777777" w:rsidTr="00A15A2B">
        <w:trPr>
          <w:trHeight w:val="269"/>
        </w:trPr>
        <w:tc>
          <w:tcPr>
            <w:tcW w:w="1959" w:type="dxa"/>
            <w:shd w:val="clear" w:color="auto" w:fill="auto"/>
            <w:noWrap/>
            <w:vAlign w:val="center"/>
          </w:tcPr>
          <w:p w14:paraId="36484E9F" w14:textId="77777777" w:rsidR="002E5A73" w:rsidRPr="0078060E" w:rsidRDefault="002E5A73" w:rsidP="00A15A2B">
            <w:pPr>
              <w:spacing w:after="0" w:line="240" w:lineRule="auto"/>
              <w:jc w:val="center"/>
              <w:rPr>
                <w:rFonts w:ascii="Calibri" w:eastAsia="Times New Roman" w:hAnsi="Calibri" w:cs="Calibri"/>
                <w:color w:val="000000"/>
                <w:sz w:val="24"/>
                <w:szCs w:val="24"/>
                <w:lang w:eastAsia="en-GB"/>
              </w:rPr>
            </w:pPr>
          </w:p>
        </w:tc>
        <w:tc>
          <w:tcPr>
            <w:tcW w:w="2252" w:type="dxa"/>
            <w:noWrap/>
          </w:tcPr>
          <w:p w14:paraId="0EFD045A" w14:textId="77777777" w:rsidR="002E5A73" w:rsidRPr="001B4F40" w:rsidRDefault="002E5A73" w:rsidP="00A15A2B">
            <w:pPr>
              <w:spacing w:after="0" w:line="240" w:lineRule="auto"/>
              <w:jc w:val="center"/>
              <w:rPr>
                <w:color w:val="0070C0"/>
              </w:rPr>
            </w:pPr>
            <w:r w:rsidRPr="001B4F40">
              <w:rPr>
                <w:color w:val="0070C0"/>
              </w:rPr>
              <w:fldChar w:fldCharType="begin" w:fldLock="1"/>
            </w:r>
            <w:r>
              <w:rPr>
                <w:color w:val="0070C0"/>
              </w:rPr>
              <w:instrText>ADDIN CSL_CITATION {"citationItems":[{"id":"ITEM-1","itemData":{"URL":"https://population.un.org/wpp/Download/Standard/Population/","accessed":{"date-parts":[["2020","8","3"]]},"author":[{"dropping-particle":"","family":"UN","given":"","non-dropping-particle":"","parse-names":false,"suffix":""}],"id":"ITEM-1","issued":{"date-parts":[["2019"]]},"title":"World Population Prospects: Population Division","type":"webpage"},"uris":["http://www.mendeley.com/documents/?uuid=3219025e-0d3c-3112-b741-8442bab21fb4"]}],"mendeley":{"formattedCitation":"(34)","plainTextFormattedCitation":"(34)","previouslyFormattedCitation":"(33)"},"properties":{"noteIndex":0},"schema":"https://github.com/citation-style-language/schema/raw/master/csl-citation.json"}</w:instrText>
            </w:r>
            <w:r w:rsidRPr="001B4F40">
              <w:rPr>
                <w:color w:val="0070C0"/>
              </w:rPr>
              <w:fldChar w:fldCharType="separate"/>
            </w:r>
            <w:r>
              <w:rPr>
                <w:color w:val="0070C0"/>
              </w:rPr>
              <w:t>[</w:t>
            </w:r>
            <w:r w:rsidRPr="002518DC">
              <w:rPr>
                <w:noProof/>
                <w:color w:val="0070C0"/>
              </w:rPr>
              <w:t>34</w:t>
            </w:r>
            <w:r>
              <w:rPr>
                <w:noProof/>
                <w:color w:val="0070C0"/>
              </w:rPr>
              <w:t>]</w:t>
            </w:r>
            <w:r w:rsidRPr="001B4F40">
              <w:rPr>
                <w:color w:val="0070C0"/>
              </w:rPr>
              <w:fldChar w:fldCharType="end"/>
            </w:r>
          </w:p>
        </w:tc>
        <w:tc>
          <w:tcPr>
            <w:tcW w:w="2594" w:type="dxa"/>
            <w:noWrap/>
          </w:tcPr>
          <w:p w14:paraId="1B9CBB54" w14:textId="77777777" w:rsidR="002E5A73" w:rsidRPr="001B4F40" w:rsidRDefault="002E5A73" w:rsidP="00A15A2B">
            <w:pPr>
              <w:spacing w:after="0" w:line="240" w:lineRule="auto"/>
              <w:jc w:val="center"/>
              <w:rPr>
                <w:color w:val="0070C0"/>
              </w:rPr>
            </w:pPr>
            <w:r w:rsidRPr="001B4F40">
              <w:rPr>
                <w:color w:val="0070C0"/>
              </w:rPr>
              <w:fldChar w:fldCharType="begin" w:fldLock="1"/>
            </w:r>
            <w:r>
              <w:rPr>
                <w:color w:val="0070C0"/>
              </w:rPr>
              <w:instrText>ADDIN CSL_CITATION {"citationItems":[{"id":"ITEM-1","itemData":{"URL":"https://population.un.org/wpp/Download/Standard/Population/","accessed":{"date-parts":[["2020","8","3"]]},"author":[{"dropping-particle":"","family":"UN","given":"","non-dropping-particle":"","parse-names":false,"suffix":""}],"id":"ITEM-1","issued":{"date-parts":[["2019"]]},"title":"World Population Prospects: Population Division","type":"webpage"},"uris":["http://www.mendeley.com/documents/?uuid=3219025e-0d3c-3112-b741-8442bab21fb4"]}],"mendeley":{"formattedCitation":"(34)","plainTextFormattedCitation":"(34)","previouslyFormattedCitation":"(33)"},"properties":{"noteIndex":0},"schema":"https://github.com/citation-style-language/schema/raw/master/csl-citation.json"}</w:instrText>
            </w:r>
            <w:r w:rsidRPr="001B4F40">
              <w:rPr>
                <w:color w:val="0070C0"/>
              </w:rPr>
              <w:fldChar w:fldCharType="separate"/>
            </w:r>
            <w:r>
              <w:rPr>
                <w:color w:val="0070C0"/>
              </w:rPr>
              <w:t>[</w:t>
            </w:r>
            <w:r w:rsidRPr="002518DC">
              <w:rPr>
                <w:noProof/>
                <w:color w:val="0070C0"/>
              </w:rPr>
              <w:t>34</w:t>
            </w:r>
            <w:r>
              <w:rPr>
                <w:noProof/>
                <w:color w:val="0070C0"/>
              </w:rPr>
              <w:t>]</w:t>
            </w:r>
            <w:r w:rsidRPr="001B4F40">
              <w:rPr>
                <w:color w:val="0070C0"/>
              </w:rPr>
              <w:fldChar w:fldCharType="end"/>
            </w:r>
          </w:p>
        </w:tc>
        <w:tc>
          <w:tcPr>
            <w:tcW w:w="1821" w:type="dxa"/>
            <w:noWrap/>
          </w:tcPr>
          <w:p w14:paraId="66CB35B1" w14:textId="77777777" w:rsidR="002E5A73" w:rsidRPr="001B4F40" w:rsidRDefault="002E5A73" w:rsidP="00A15A2B">
            <w:pPr>
              <w:spacing w:after="0" w:line="240" w:lineRule="auto"/>
              <w:jc w:val="center"/>
              <w:rPr>
                <w:color w:val="0070C0"/>
              </w:rPr>
            </w:pPr>
            <w:r w:rsidRPr="001B4F40">
              <w:rPr>
                <w:color w:val="0070C0"/>
              </w:rPr>
              <w:fldChar w:fldCharType="begin" w:fldLock="1"/>
            </w:r>
            <w:r>
              <w:rPr>
                <w:color w:val="0070C0"/>
              </w:rPr>
              <w:instrText>ADDIN CSL_CITATION {"citationItems":[{"id":"ITEM-1","itemData":{"URL":"https://population.un.org/wpp/Download/Standard/Population/","accessed":{"date-parts":[["2020","8","3"]]},"author":[{"dropping-particle":"","family":"UN","given":"","non-dropping-particle":"","parse-names":false,"suffix":""}],"id":"ITEM-1","issued":{"date-parts":[["2019"]]},"title":"World Population Prospects: Population Division","type":"webpage"},"uris":["http://www.mendeley.com/documents/?uuid=3219025e-0d3c-3112-b741-8442bab21fb4"]}],"mendeley":{"formattedCitation":"(34)","manualFormatting":"[34]","plainTextFormattedCitation":"(34)","previouslyFormattedCitation":"(33)"},"properties":{"noteIndex":0},"schema":"https://github.com/citation-style-language/schema/raw/master/csl-citation.json"}</w:instrText>
            </w:r>
            <w:r w:rsidRPr="001B4F40">
              <w:rPr>
                <w:color w:val="0070C0"/>
              </w:rPr>
              <w:fldChar w:fldCharType="separate"/>
            </w:r>
            <w:r>
              <w:rPr>
                <w:color w:val="0070C0"/>
              </w:rPr>
              <w:t>[</w:t>
            </w:r>
            <w:r w:rsidRPr="002518DC">
              <w:rPr>
                <w:noProof/>
                <w:color w:val="0070C0"/>
              </w:rPr>
              <w:t>34</w:t>
            </w:r>
            <w:r>
              <w:rPr>
                <w:noProof/>
                <w:color w:val="0070C0"/>
              </w:rPr>
              <w:t>]</w:t>
            </w:r>
            <w:r w:rsidRPr="001B4F40">
              <w:rPr>
                <w:color w:val="0070C0"/>
              </w:rPr>
              <w:fldChar w:fldCharType="end"/>
            </w:r>
          </w:p>
        </w:tc>
      </w:tr>
      <w:tr w:rsidR="002E5A73" w:rsidRPr="0078060E" w14:paraId="3061D220" w14:textId="77777777" w:rsidTr="00A15A2B">
        <w:trPr>
          <w:trHeight w:val="269"/>
        </w:trPr>
        <w:tc>
          <w:tcPr>
            <w:tcW w:w="1959" w:type="dxa"/>
            <w:shd w:val="clear" w:color="auto" w:fill="auto"/>
            <w:noWrap/>
            <w:vAlign w:val="bottom"/>
            <w:hideMark/>
          </w:tcPr>
          <w:p w14:paraId="1BDF9F1E"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0</w:t>
            </w:r>
            <w:r>
              <w:rPr>
                <w:rFonts w:ascii="Calibri" w:eastAsia="Times New Roman" w:hAnsi="Calibri" w:cs="Calibri"/>
                <w:color w:val="000000"/>
                <w:sz w:val="24"/>
                <w:szCs w:val="24"/>
                <w:lang w:eastAsia="en-GB"/>
              </w:rPr>
              <w:t>–4</w:t>
            </w:r>
          </w:p>
        </w:tc>
        <w:tc>
          <w:tcPr>
            <w:tcW w:w="2252" w:type="dxa"/>
            <w:noWrap/>
            <w:hideMark/>
          </w:tcPr>
          <w:p w14:paraId="6CE7FFA3"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760,255</w:t>
            </w:r>
          </w:p>
        </w:tc>
        <w:tc>
          <w:tcPr>
            <w:tcW w:w="2594" w:type="dxa"/>
            <w:noWrap/>
            <w:hideMark/>
          </w:tcPr>
          <w:p w14:paraId="1B4703D5"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t>0.0</w:t>
            </w:r>
          </w:p>
        </w:tc>
        <w:tc>
          <w:tcPr>
            <w:tcW w:w="1821" w:type="dxa"/>
            <w:noWrap/>
            <w:hideMark/>
          </w:tcPr>
          <w:p w14:paraId="0E6AC059"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0.0000101605</w:t>
            </w:r>
          </w:p>
        </w:tc>
      </w:tr>
      <w:tr w:rsidR="002E5A73" w:rsidRPr="0078060E" w14:paraId="1623B021" w14:textId="77777777" w:rsidTr="00A15A2B">
        <w:trPr>
          <w:trHeight w:val="269"/>
        </w:trPr>
        <w:tc>
          <w:tcPr>
            <w:tcW w:w="1959" w:type="dxa"/>
            <w:shd w:val="clear" w:color="auto" w:fill="auto"/>
            <w:noWrap/>
            <w:vAlign w:val="bottom"/>
            <w:hideMark/>
          </w:tcPr>
          <w:p w14:paraId="33C6ED84"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5</w:t>
            </w:r>
            <w:r>
              <w:rPr>
                <w:rFonts w:ascii="Calibri" w:eastAsia="Times New Roman" w:hAnsi="Calibri" w:cs="Calibri"/>
                <w:color w:val="000000"/>
                <w:sz w:val="24"/>
                <w:szCs w:val="24"/>
                <w:lang w:eastAsia="en-GB"/>
              </w:rPr>
              <w:t>–9</w:t>
            </w:r>
          </w:p>
        </w:tc>
        <w:tc>
          <w:tcPr>
            <w:tcW w:w="2252" w:type="dxa"/>
            <w:noWrap/>
            <w:hideMark/>
          </w:tcPr>
          <w:p w14:paraId="7192BD43"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769,195</w:t>
            </w:r>
          </w:p>
        </w:tc>
        <w:tc>
          <w:tcPr>
            <w:tcW w:w="2594" w:type="dxa"/>
            <w:noWrap/>
            <w:hideMark/>
          </w:tcPr>
          <w:p w14:paraId="2573AB2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t>0.0</w:t>
            </w:r>
          </w:p>
        </w:tc>
        <w:tc>
          <w:tcPr>
            <w:tcW w:w="1821" w:type="dxa"/>
            <w:noWrap/>
            <w:hideMark/>
          </w:tcPr>
          <w:p w14:paraId="6179BBBA"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0.0000007304</w:t>
            </w:r>
          </w:p>
        </w:tc>
      </w:tr>
      <w:tr w:rsidR="002E5A73" w:rsidRPr="0078060E" w14:paraId="4D8EE593" w14:textId="77777777" w:rsidTr="00A15A2B">
        <w:trPr>
          <w:trHeight w:val="269"/>
        </w:trPr>
        <w:tc>
          <w:tcPr>
            <w:tcW w:w="1959" w:type="dxa"/>
            <w:shd w:val="clear" w:color="auto" w:fill="auto"/>
            <w:noWrap/>
            <w:vAlign w:val="bottom"/>
            <w:hideMark/>
          </w:tcPr>
          <w:p w14:paraId="7228A87E"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1</w:t>
            </w:r>
            <w:r>
              <w:rPr>
                <w:rFonts w:ascii="Calibri" w:eastAsia="Times New Roman" w:hAnsi="Calibri" w:cs="Calibri"/>
                <w:color w:val="000000"/>
                <w:sz w:val="24"/>
                <w:szCs w:val="24"/>
                <w:lang w:eastAsia="en-GB"/>
              </w:rPr>
              <w:t>4</w:t>
            </w:r>
          </w:p>
        </w:tc>
        <w:tc>
          <w:tcPr>
            <w:tcW w:w="2252" w:type="dxa"/>
            <w:noWrap/>
            <w:hideMark/>
          </w:tcPr>
          <w:p w14:paraId="1CD4E70E"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600,626</w:t>
            </w:r>
          </w:p>
        </w:tc>
        <w:tc>
          <w:tcPr>
            <w:tcW w:w="2594" w:type="dxa"/>
            <w:noWrap/>
            <w:hideMark/>
          </w:tcPr>
          <w:p w14:paraId="2EB0D28A"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t>0.0</w:t>
            </w:r>
          </w:p>
        </w:tc>
        <w:tc>
          <w:tcPr>
            <w:tcW w:w="1821" w:type="dxa"/>
            <w:noWrap/>
            <w:hideMark/>
          </w:tcPr>
          <w:p w14:paraId="5089B26D"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0.0000009053</w:t>
            </w:r>
          </w:p>
        </w:tc>
      </w:tr>
      <w:tr w:rsidR="002E5A73" w:rsidRPr="0078060E" w14:paraId="0B66426E" w14:textId="77777777" w:rsidTr="00A15A2B">
        <w:trPr>
          <w:trHeight w:val="269"/>
        </w:trPr>
        <w:tc>
          <w:tcPr>
            <w:tcW w:w="1959" w:type="dxa"/>
            <w:shd w:val="clear" w:color="auto" w:fill="auto"/>
            <w:noWrap/>
            <w:vAlign w:val="bottom"/>
            <w:hideMark/>
          </w:tcPr>
          <w:p w14:paraId="7E0A1A68"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15</w:t>
            </w:r>
            <w:r>
              <w:rPr>
                <w:rFonts w:ascii="Calibri" w:eastAsia="Times New Roman" w:hAnsi="Calibri" w:cs="Calibri"/>
                <w:color w:val="000000"/>
                <w:sz w:val="24"/>
                <w:szCs w:val="24"/>
                <w:lang w:eastAsia="en-GB"/>
              </w:rPr>
              <w:t>–19</w:t>
            </w:r>
          </w:p>
        </w:tc>
        <w:tc>
          <w:tcPr>
            <w:tcW w:w="2252" w:type="dxa"/>
            <w:noWrap/>
            <w:hideMark/>
          </w:tcPr>
          <w:p w14:paraId="64A3F819"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500,075</w:t>
            </w:r>
          </w:p>
        </w:tc>
        <w:tc>
          <w:tcPr>
            <w:tcW w:w="2594" w:type="dxa"/>
            <w:noWrap/>
            <w:hideMark/>
          </w:tcPr>
          <w:p w14:paraId="0171BBB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0.0000448688</w:t>
            </w:r>
          </w:p>
        </w:tc>
        <w:tc>
          <w:tcPr>
            <w:tcW w:w="1821" w:type="dxa"/>
            <w:noWrap/>
            <w:hideMark/>
          </w:tcPr>
          <w:p w14:paraId="033B0CCA"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0.0000015779</w:t>
            </w:r>
          </w:p>
        </w:tc>
      </w:tr>
      <w:tr w:rsidR="002E5A73" w:rsidRPr="0078060E" w14:paraId="3E84C522" w14:textId="77777777" w:rsidTr="00A15A2B">
        <w:trPr>
          <w:trHeight w:val="269"/>
        </w:trPr>
        <w:tc>
          <w:tcPr>
            <w:tcW w:w="1959" w:type="dxa"/>
            <w:shd w:val="clear" w:color="auto" w:fill="auto"/>
            <w:noWrap/>
            <w:vAlign w:val="bottom"/>
            <w:hideMark/>
          </w:tcPr>
          <w:p w14:paraId="6D0F38E8"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20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2</w:t>
            </w:r>
            <w:r>
              <w:rPr>
                <w:rFonts w:ascii="Calibri" w:eastAsia="Times New Roman" w:hAnsi="Calibri" w:cs="Calibri"/>
                <w:color w:val="000000"/>
                <w:sz w:val="24"/>
                <w:szCs w:val="24"/>
                <w:lang w:eastAsia="en-GB"/>
              </w:rPr>
              <w:t>4</w:t>
            </w:r>
          </w:p>
        </w:tc>
        <w:tc>
          <w:tcPr>
            <w:tcW w:w="2252" w:type="dxa"/>
            <w:noWrap/>
            <w:hideMark/>
          </w:tcPr>
          <w:p w14:paraId="7C06FDA8"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514,389</w:t>
            </w:r>
          </w:p>
        </w:tc>
        <w:tc>
          <w:tcPr>
            <w:tcW w:w="2594" w:type="dxa"/>
            <w:noWrap/>
            <w:hideMark/>
          </w:tcPr>
          <w:p w14:paraId="333E13FD"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0.0002696000</w:t>
            </w:r>
          </w:p>
        </w:tc>
        <w:tc>
          <w:tcPr>
            <w:tcW w:w="1821" w:type="dxa"/>
            <w:noWrap/>
            <w:hideMark/>
          </w:tcPr>
          <w:p w14:paraId="6F91916C"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0.0000022355</w:t>
            </w:r>
          </w:p>
        </w:tc>
      </w:tr>
      <w:tr w:rsidR="002E5A73" w:rsidRPr="0078060E" w14:paraId="202300CB" w14:textId="77777777" w:rsidTr="00A15A2B">
        <w:trPr>
          <w:trHeight w:val="269"/>
        </w:trPr>
        <w:tc>
          <w:tcPr>
            <w:tcW w:w="1959" w:type="dxa"/>
            <w:shd w:val="clear" w:color="auto" w:fill="auto"/>
            <w:noWrap/>
            <w:vAlign w:val="bottom"/>
            <w:hideMark/>
          </w:tcPr>
          <w:p w14:paraId="068B8E95"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25</w:t>
            </w:r>
            <w:r>
              <w:rPr>
                <w:rFonts w:ascii="Calibri" w:eastAsia="Times New Roman" w:hAnsi="Calibri" w:cs="Calibri"/>
                <w:color w:val="000000"/>
                <w:sz w:val="24"/>
                <w:szCs w:val="24"/>
                <w:lang w:eastAsia="en-GB"/>
              </w:rPr>
              <w:t>–29</w:t>
            </w:r>
          </w:p>
        </w:tc>
        <w:tc>
          <w:tcPr>
            <w:tcW w:w="2252" w:type="dxa"/>
            <w:noWrap/>
            <w:hideMark/>
          </w:tcPr>
          <w:p w14:paraId="32E9ACD1"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568,551</w:t>
            </w:r>
          </w:p>
        </w:tc>
        <w:tc>
          <w:tcPr>
            <w:tcW w:w="2594" w:type="dxa"/>
            <w:noWrap/>
            <w:hideMark/>
          </w:tcPr>
          <w:p w14:paraId="49979ABA"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0.0002296603</w:t>
            </w:r>
          </w:p>
        </w:tc>
        <w:tc>
          <w:tcPr>
            <w:tcW w:w="1821" w:type="dxa"/>
            <w:noWrap/>
            <w:hideMark/>
          </w:tcPr>
          <w:p w14:paraId="5817B260"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0.0000027381</w:t>
            </w:r>
          </w:p>
        </w:tc>
      </w:tr>
      <w:tr w:rsidR="002E5A73" w:rsidRPr="0078060E" w14:paraId="5FC82DB3" w14:textId="77777777" w:rsidTr="00A15A2B">
        <w:trPr>
          <w:trHeight w:val="269"/>
        </w:trPr>
        <w:tc>
          <w:tcPr>
            <w:tcW w:w="1959" w:type="dxa"/>
            <w:shd w:val="clear" w:color="auto" w:fill="auto"/>
            <w:noWrap/>
            <w:vAlign w:val="bottom"/>
            <w:hideMark/>
          </w:tcPr>
          <w:p w14:paraId="79E21F25"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30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3</w:t>
            </w:r>
            <w:r>
              <w:rPr>
                <w:rFonts w:ascii="Calibri" w:eastAsia="Times New Roman" w:hAnsi="Calibri" w:cs="Calibri"/>
                <w:color w:val="000000"/>
                <w:sz w:val="24"/>
                <w:szCs w:val="24"/>
                <w:lang w:eastAsia="en-GB"/>
              </w:rPr>
              <w:t>4</w:t>
            </w:r>
          </w:p>
        </w:tc>
        <w:tc>
          <w:tcPr>
            <w:tcW w:w="2252" w:type="dxa"/>
            <w:noWrap/>
            <w:hideMark/>
          </w:tcPr>
          <w:p w14:paraId="72D1BF81"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572,187</w:t>
            </w:r>
          </w:p>
        </w:tc>
        <w:tc>
          <w:tcPr>
            <w:tcW w:w="2594" w:type="dxa"/>
            <w:noWrap/>
            <w:hideMark/>
          </w:tcPr>
          <w:p w14:paraId="73ACBBCF"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0.0001459984</w:t>
            </w:r>
          </w:p>
        </w:tc>
        <w:tc>
          <w:tcPr>
            <w:tcW w:w="1821" w:type="dxa"/>
            <w:noWrap/>
            <w:hideMark/>
          </w:tcPr>
          <w:p w14:paraId="44ADEF75"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0.0000038920</w:t>
            </w:r>
          </w:p>
        </w:tc>
      </w:tr>
      <w:tr w:rsidR="002E5A73" w:rsidRPr="0078060E" w14:paraId="51F90EC2" w14:textId="77777777" w:rsidTr="00A15A2B">
        <w:trPr>
          <w:trHeight w:val="269"/>
        </w:trPr>
        <w:tc>
          <w:tcPr>
            <w:tcW w:w="1959" w:type="dxa"/>
            <w:shd w:val="clear" w:color="auto" w:fill="auto"/>
            <w:noWrap/>
            <w:vAlign w:val="bottom"/>
            <w:hideMark/>
          </w:tcPr>
          <w:p w14:paraId="1D8E0FD6"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35</w:t>
            </w:r>
            <w:r>
              <w:rPr>
                <w:rFonts w:ascii="Calibri" w:eastAsia="Times New Roman" w:hAnsi="Calibri" w:cs="Calibri"/>
                <w:color w:val="000000"/>
                <w:sz w:val="24"/>
                <w:szCs w:val="24"/>
                <w:lang w:eastAsia="en-GB"/>
              </w:rPr>
              <w:t>–39</w:t>
            </w:r>
          </w:p>
        </w:tc>
        <w:tc>
          <w:tcPr>
            <w:tcW w:w="2252" w:type="dxa"/>
            <w:noWrap/>
            <w:hideMark/>
          </w:tcPr>
          <w:p w14:paraId="6E02361E"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442</w:t>
            </w:r>
            <w:r>
              <w:t>,</w:t>
            </w:r>
            <w:r w:rsidRPr="00D47E74">
              <w:t>518</w:t>
            </w:r>
          </w:p>
        </w:tc>
        <w:tc>
          <w:tcPr>
            <w:tcW w:w="2594" w:type="dxa"/>
            <w:noWrap/>
            <w:hideMark/>
          </w:tcPr>
          <w:p w14:paraId="65E311A2"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0.0000888265</w:t>
            </w:r>
          </w:p>
        </w:tc>
        <w:tc>
          <w:tcPr>
            <w:tcW w:w="1821" w:type="dxa"/>
            <w:noWrap/>
            <w:hideMark/>
          </w:tcPr>
          <w:p w14:paraId="5328740E"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0.0000059593</w:t>
            </w:r>
          </w:p>
        </w:tc>
      </w:tr>
      <w:tr w:rsidR="002E5A73" w:rsidRPr="0078060E" w14:paraId="1C57BD9E" w14:textId="77777777" w:rsidTr="00A15A2B">
        <w:trPr>
          <w:trHeight w:val="269"/>
        </w:trPr>
        <w:tc>
          <w:tcPr>
            <w:tcW w:w="1959" w:type="dxa"/>
            <w:shd w:val="clear" w:color="auto" w:fill="auto"/>
            <w:noWrap/>
            <w:vAlign w:val="bottom"/>
            <w:hideMark/>
          </w:tcPr>
          <w:p w14:paraId="5AB801DD"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4</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252" w:type="dxa"/>
            <w:noWrap/>
            <w:hideMark/>
          </w:tcPr>
          <w:p w14:paraId="602C6FDF"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361</w:t>
            </w:r>
            <w:r>
              <w:t>,</w:t>
            </w:r>
            <w:r w:rsidRPr="00D47E74">
              <w:t>459</w:t>
            </w:r>
          </w:p>
        </w:tc>
        <w:tc>
          <w:tcPr>
            <w:tcW w:w="2594" w:type="dxa"/>
            <w:noWrap/>
            <w:hideMark/>
          </w:tcPr>
          <w:p w14:paraId="23CCB021"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0.0000250881</w:t>
            </w:r>
          </w:p>
        </w:tc>
        <w:tc>
          <w:tcPr>
            <w:tcW w:w="1821" w:type="dxa"/>
            <w:noWrap/>
            <w:hideMark/>
          </w:tcPr>
          <w:p w14:paraId="7E8DADF6"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0.0000095105</w:t>
            </w:r>
          </w:p>
        </w:tc>
      </w:tr>
      <w:tr w:rsidR="002E5A73" w:rsidRPr="0078060E" w14:paraId="4A0C9ABE" w14:textId="77777777" w:rsidTr="00A15A2B">
        <w:trPr>
          <w:trHeight w:val="269"/>
        </w:trPr>
        <w:tc>
          <w:tcPr>
            <w:tcW w:w="1959" w:type="dxa"/>
            <w:shd w:val="clear" w:color="auto" w:fill="auto"/>
            <w:noWrap/>
            <w:vAlign w:val="bottom"/>
            <w:hideMark/>
          </w:tcPr>
          <w:p w14:paraId="6D1204A0"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45</w:t>
            </w:r>
            <w:r>
              <w:rPr>
                <w:rFonts w:ascii="Calibri" w:eastAsia="Times New Roman" w:hAnsi="Calibri" w:cs="Calibri"/>
                <w:color w:val="000000"/>
                <w:sz w:val="24"/>
                <w:szCs w:val="24"/>
                <w:lang w:eastAsia="en-GB"/>
              </w:rPr>
              <w:t>–49</w:t>
            </w:r>
          </w:p>
        </w:tc>
        <w:tc>
          <w:tcPr>
            <w:tcW w:w="2252" w:type="dxa"/>
            <w:noWrap/>
            <w:hideMark/>
          </w:tcPr>
          <w:p w14:paraId="67487119"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324</w:t>
            </w:r>
            <w:r>
              <w:t>,</w:t>
            </w:r>
            <w:r w:rsidRPr="00D47E74">
              <w:t>976</w:t>
            </w:r>
          </w:p>
        </w:tc>
        <w:tc>
          <w:tcPr>
            <w:tcW w:w="2594" w:type="dxa"/>
            <w:noWrap/>
            <w:hideMark/>
          </w:tcPr>
          <w:p w14:paraId="6127B96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0.0000012351</w:t>
            </w:r>
          </w:p>
        </w:tc>
        <w:tc>
          <w:tcPr>
            <w:tcW w:w="1821" w:type="dxa"/>
            <w:noWrap/>
            <w:hideMark/>
          </w:tcPr>
          <w:p w14:paraId="4C007EC8"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D47E74">
              <w:t>0.0000134190</w:t>
            </w:r>
          </w:p>
        </w:tc>
      </w:tr>
      <w:tr w:rsidR="002E5A73" w:rsidRPr="0078060E" w14:paraId="0C55FD84" w14:textId="77777777" w:rsidTr="00A15A2B">
        <w:trPr>
          <w:trHeight w:val="269"/>
        </w:trPr>
        <w:tc>
          <w:tcPr>
            <w:tcW w:w="1959" w:type="dxa"/>
            <w:shd w:val="clear" w:color="auto" w:fill="auto"/>
            <w:noWrap/>
            <w:vAlign w:val="bottom"/>
            <w:hideMark/>
          </w:tcPr>
          <w:p w14:paraId="60994DED"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50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5</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252" w:type="dxa"/>
            <w:noWrap/>
            <w:hideMark/>
          </w:tcPr>
          <w:p w14:paraId="744F744E"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295,973</w:t>
            </w:r>
          </w:p>
        </w:tc>
        <w:tc>
          <w:tcPr>
            <w:tcW w:w="2594" w:type="dxa"/>
            <w:noWrap/>
            <w:hideMark/>
          </w:tcPr>
          <w:p w14:paraId="272DD42A"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3F48B2">
              <w:t>0.0</w:t>
            </w:r>
          </w:p>
        </w:tc>
        <w:tc>
          <w:tcPr>
            <w:tcW w:w="1821" w:type="dxa"/>
            <w:noWrap/>
            <w:hideMark/>
          </w:tcPr>
          <w:p w14:paraId="2431249A"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0.0000201361</w:t>
            </w:r>
          </w:p>
        </w:tc>
      </w:tr>
      <w:tr w:rsidR="002E5A73" w:rsidRPr="0078060E" w14:paraId="13245293" w14:textId="77777777" w:rsidTr="00A15A2B">
        <w:trPr>
          <w:trHeight w:val="269"/>
        </w:trPr>
        <w:tc>
          <w:tcPr>
            <w:tcW w:w="1959" w:type="dxa"/>
            <w:shd w:val="clear" w:color="auto" w:fill="auto"/>
            <w:noWrap/>
            <w:vAlign w:val="bottom"/>
            <w:hideMark/>
          </w:tcPr>
          <w:p w14:paraId="59EB7510"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55</w:t>
            </w:r>
            <w:r>
              <w:rPr>
                <w:rFonts w:ascii="Calibri" w:eastAsia="Times New Roman" w:hAnsi="Calibri" w:cs="Calibri"/>
                <w:color w:val="000000"/>
                <w:sz w:val="24"/>
                <w:szCs w:val="24"/>
                <w:lang w:eastAsia="en-GB"/>
              </w:rPr>
              <w:t>–59</w:t>
            </w:r>
            <w:r w:rsidRPr="00713152">
              <w:rPr>
                <w:rFonts w:ascii="Calibri" w:eastAsia="Times New Roman" w:hAnsi="Calibri" w:cs="Calibri"/>
                <w:color w:val="000000"/>
                <w:sz w:val="24"/>
                <w:szCs w:val="24"/>
                <w:lang w:eastAsia="en-GB"/>
              </w:rPr>
              <w:t xml:space="preserve"> </w:t>
            </w:r>
          </w:p>
        </w:tc>
        <w:tc>
          <w:tcPr>
            <w:tcW w:w="2252" w:type="dxa"/>
            <w:noWrap/>
            <w:hideMark/>
          </w:tcPr>
          <w:p w14:paraId="38F6C4EC"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285,462</w:t>
            </w:r>
          </w:p>
        </w:tc>
        <w:tc>
          <w:tcPr>
            <w:tcW w:w="2594" w:type="dxa"/>
            <w:noWrap/>
            <w:hideMark/>
          </w:tcPr>
          <w:p w14:paraId="6DED70F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w:t>
            </w:r>
            <w:r>
              <w:rPr>
                <w:rFonts w:ascii="Calibri" w:eastAsia="Times New Roman" w:hAnsi="Calibri" w:cs="Calibri"/>
                <w:color w:val="000000"/>
                <w:sz w:val="24"/>
                <w:szCs w:val="24"/>
                <w:lang w:eastAsia="en-GB"/>
              </w:rPr>
              <w:t xml:space="preserve">.0 </w:t>
            </w:r>
          </w:p>
        </w:tc>
        <w:tc>
          <w:tcPr>
            <w:tcW w:w="1821" w:type="dxa"/>
            <w:noWrap/>
            <w:hideMark/>
          </w:tcPr>
          <w:p w14:paraId="4913AEC3"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0.0000270330</w:t>
            </w:r>
          </w:p>
        </w:tc>
      </w:tr>
      <w:tr w:rsidR="002E5A73" w:rsidRPr="0078060E" w14:paraId="1297EFA2" w14:textId="77777777" w:rsidTr="00A15A2B">
        <w:trPr>
          <w:trHeight w:val="269"/>
        </w:trPr>
        <w:tc>
          <w:tcPr>
            <w:tcW w:w="1959" w:type="dxa"/>
            <w:shd w:val="clear" w:color="auto" w:fill="auto"/>
            <w:noWrap/>
            <w:vAlign w:val="bottom"/>
            <w:hideMark/>
          </w:tcPr>
          <w:p w14:paraId="73807BCF"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60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6</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252" w:type="dxa"/>
            <w:noWrap/>
            <w:hideMark/>
          </w:tcPr>
          <w:p w14:paraId="231AAD10"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220,069</w:t>
            </w:r>
          </w:p>
        </w:tc>
        <w:tc>
          <w:tcPr>
            <w:tcW w:w="2594" w:type="dxa"/>
            <w:noWrap/>
            <w:hideMark/>
          </w:tcPr>
          <w:p w14:paraId="516DF1D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r>
              <w:rPr>
                <w:rFonts w:ascii="Calibri" w:eastAsia="Times New Roman" w:hAnsi="Calibri" w:cs="Calibri"/>
                <w:color w:val="000000"/>
                <w:sz w:val="24"/>
                <w:szCs w:val="24"/>
                <w:lang w:eastAsia="en-GB"/>
              </w:rPr>
              <w:t xml:space="preserve"> </w:t>
            </w:r>
          </w:p>
        </w:tc>
        <w:tc>
          <w:tcPr>
            <w:tcW w:w="1821" w:type="dxa"/>
            <w:noWrap/>
            <w:hideMark/>
          </w:tcPr>
          <w:p w14:paraId="01E39356"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0.0000408832</w:t>
            </w:r>
          </w:p>
        </w:tc>
      </w:tr>
      <w:tr w:rsidR="002E5A73" w:rsidRPr="0078060E" w14:paraId="26E00430" w14:textId="77777777" w:rsidTr="00A15A2B">
        <w:trPr>
          <w:trHeight w:val="269"/>
        </w:trPr>
        <w:tc>
          <w:tcPr>
            <w:tcW w:w="1959" w:type="dxa"/>
            <w:shd w:val="clear" w:color="auto" w:fill="auto"/>
            <w:noWrap/>
            <w:vAlign w:val="bottom"/>
            <w:hideMark/>
          </w:tcPr>
          <w:p w14:paraId="69D0E5D4"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65</w:t>
            </w:r>
            <w:r>
              <w:rPr>
                <w:rFonts w:ascii="Calibri" w:eastAsia="Times New Roman" w:hAnsi="Calibri" w:cs="Calibri"/>
                <w:color w:val="000000"/>
                <w:sz w:val="24"/>
                <w:szCs w:val="24"/>
                <w:lang w:eastAsia="en-GB"/>
              </w:rPr>
              <w:t>–69</w:t>
            </w:r>
            <w:r w:rsidRPr="00713152">
              <w:rPr>
                <w:rFonts w:ascii="Calibri" w:eastAsia="Times New Roman" w:hAnsi="Calibri" w:cs="Calibri"/>
                <w:color w:val="000000"/>
                <w:sz w:val="24"/>
                <w:szCs w:val="24"/>
                <w:lang w:eastAsia="en-GB"/>
              </w:rPr>
              <w:t xml:space="preserve"> </w:t>
            </w:r>
          </w:p>
        </w:tc>
        <w:tc>
          <w:tcPr>
            <w:tcW w:w="2252" w:type="dxa"/>
            <w:noWrap/>
            <w:hideMark/>
          </w:tcPr>
          <w:p w14:paraId="0E0DEDE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143,755</w:t>
            </w:r>
          </w:p>
        </w:tc>
        <w:tc>
          <w:tcPr>
            <w:tcW w:w="2594" w:type="dxa"/>
            <w:noWrap/>
            <w:hideMark/>
          </w:tcPr>
          <w:p w14:paraId="476C825F"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28D24CFB"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0.0000581985</w:t>
            </w:r>
          </w:p>
        </w:tc>
      </w:tr>
      <w:tr w:rsidR="002E5A73" w:rsidRPr="0078060E" w14:paraId="4C08A3F9" w14:textId="77777777" w:rsidTr="00A15A2B">
        <w:trPr>
          <w:trHeight w:val="269"/>
        </w:trPr>
        <w:tc>
          <w:tcPr>
            <w:tcW w:w="1959" w:type="dxa"/>
            <w:shd w:val="clear" w:color="auto" w:fill="auto"/>
            <w:noWrap/>
            <w:vAlign w:val="bottom"/>
            <w:hideMark/>
          </w:tcPr>
          <w:p w14:paraId="7B0D7874"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7</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252" w:type="dxa"/>
            <w:noWrap/>
            <w:hideMark/>
          </w:tcPr>
          <w:p w14:paraId="4ED3043C"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78,619</w:t>
            </w:r>
          </w:p>
        </w:tc>
        <w:tc>
          <w:tcPr>
            <w:tcW w:w="2594" w:type="dxa"/>
            <w:noWrap/>
            <w:hideMark/>
          </w:tcPr>
          <w:p w14:paraId="105642A6"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58478D68"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0.0001209308</w:t>
            </w:r>
          </w:p>
        </w:tc>
      </w:tr>
      <w:tr w:rsidR="002E5A73" w:rsidRPr="0078060E" w14:paraId="12F5184E" w14:textId="77777777" w:rsidTr="00A15A2B">
        <w:trPr>
          <w:trHeight w:val="269"/>
        </w:trPr>
        <w:tc>
          <w:tcPr>
            <w:tcW w:w="1959" w:type="dxa"/>
            <w:shd w:val="clear" w:color="auto" w:fill="auto"/>
            <w:noWrap/>
            <w:vAlign w:val="bottom"/>
            <w:hideMark/>
          </w:tcPr>
          <w:p w14:paraId="02877575"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75</w:t>
            </w:r>
            <w:r>
              <w:rPr>
                <w:rFonts w:ascii="Calibri" w:eastAsia="Times New Roman" w:hAnsi="Calibri" w:cs="Calibri"/>
                <w:color w:val="000000"/>
                <w:sz w:val="24"/>
                <w:szCs w:val="24"/>
                <w:lang w:eastAsia="en-GB"/>
              </w:rPr>
              <w:t>–79</w:t>
            </w:r>
            <w:r w:rsidRPr="00713152">
              <w:rPr>
                <w:rFonts w:ascii="Calibri" w:eastAsia="Times New Roman" w:hAnsi="Calibri" w:cs="Calibri"/>
                <w:color w:val="000000"/>
                <w:sz w:val="24"/>
                <w:szCs w:val="24"/>
                <w:lang w:eastAsia="en-GB"/>
              </w:rPr>
              <w:t xml:space="preserve"> </w:t>
            </w:r>
          </w:p>
        </w:tc>
        <w:tc>
          <w:tcPr>
            <w:tcW w:w="2252" w:type="dxa"/>
            <w:noWrap/>
            <w:hideMark/>
          </w:tcPr>
          <w:p w14:paraId="21B1AF7F"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32,595</w:t>
            </w:r>
          </w:p>
        </w:tc>
        <w:tc>
          <w:tcPr>
            <w:tcW w:w="2594" w:type="dxa"/>
            <w:noWrap/>
            <w:hideMark/>
          </w:tcPr>
          <w:p w14:paraId="38A65223"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5FA9DFA1"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0.0004064232</w:t>
            </w:r>
          </w:p>
        </w:tc>
      </w:tr>
      <w:tr w:rsidR="002E5A73" w:rsidRPr="0078060E" w14:paraId="271A422A" w14:textId="77777777" w:rsidTr="00A15A2B">
        <w:trPr>
          <w:trHeight w:val="269"/>
        </w:trPr>
        <w:tc>
          <w:tcPr>
            <w:tcW w:w="1959" w:type="dxa"/>
            <w:shd w:val="clear" w:color="auto" w:fill="auto"/>
            <w:noWrap/>
            <w:vAlign w:val="bottom"/>
            <w:hideMark/>
          </w:tcPr>
          <w:p w14:paraId="5FB222A1"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80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8</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252" w:type="dxa"/>
            <w:noWrap/>
            <w:hideMark/>
          </w:tcPr>
          <w:p w14:paraId="4FE76077"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32,507</w:t>
            </w:r>
          </w:p>
        </w:tc>
        <w:tc>
          <w:tcPr>
            <w:tcW w:w="2594" w:type="dxa"/>
            <w:noWrap/>
            <w:hideMark/>
          </w:tcPr>
          <w:p w14:paraId="7A6C973C"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32F2C91E"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0.0004353677</w:t>
            </w:r>
          </w:p>
        </w:tc>
      </w:tr>
      <w:tr w:rsidR="002E5A73" w:rsidRPr="0078060E" w14:paraId="0E115B69" w14:textId="77777777" w:rsidTr="00A15A2B">
        <w:trPr>
          <w:trHeight w:val="269"/>
        </w:trPr>
        <w:tc>
          <w:tcPr>
            <w:tcW w:w="1959" w:type="dxa"/>
            <w:shd w:val="clear" w:color="auto" w:fill="auto"/>
            <w:noWrap/>
            <w:vAlign w:val="bottom"/>
            <w:hideMark/>
          </w:tcPr>
          <w:p w14:paraId="35691CED"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85</w:t>
            </w:r>
            <w:r>
              <w:rPr>
                <w:rFonts w:ascii="Calibri" w:eastAsia="Times New Roman" w:hAnsi="Calibri" w:cs="Calibri"/>
                <w:color w:val="000000"/>
                <w:sz w:val="24"/>
                <w:szCs w:val="24"/>
                <w:lang w:eastAsia="en-GB"/>
              </w:rPr>
              <w:t>–89</w:t>
            </w:r>
            <w:r w:rsidRPr="00713152">
              <w:rPr>
                <w:rFonts w:ascii="Calibri" w:eastAsia="Times New Roman" w:hAnsi="Calibri" w:cs="Calibri"/>
                <w:color w:val="000000"/>
                <w:sz w:val="24"/>
                <w:szCs w:val="24"/>
                <w:lang w:eastAsia="en-GB"/>
              </w:rPr>
              <w:t xml:space="preserve"> </w:t>
            </w:r>
          </w:p>
        </w:tc>
        <w:tc>
          <w:tcPr>
            <w:tcW w:w="2252" w:type="dxa"/>
            <w:noWrap/>
            <w:hideMark/>
          </w:tcPr>
          <w:p w14:paraId="1C877782"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15,592</w:t>
            </w:r>
          </w:p>
        </w:tc>
        <w:tc>
          <w:tcPr>
            <w:tcW w:w="2594" w:type="dxa"/>
            <w:noWrap/>
            <w:hideMark/>
          </w:tcPr>
          <w:p w14:paraId="14006DAD"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6F7C4935"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0.0004875172</w:t>
            </w:r>
          </w:p>
        </w:tc>
      </w:tr>
      <w:tr w:rsidR="002E5A73" w:rsidRPr="0078060E" w14:paraId="641AC0B4" w14:textId="77777777" w:rsidTr="00A15A2B">
        <w:trPr>
          <w:trHeight w:val="269"/>
        </w:trPr>
        <w:tc>
          <w:tcPr>
            <w:tcW w:w="1959" w:type="dxa"/>
            <w:shd w:val="clear" w:color="auto" w:fill="auto"/>
            <w:noWrap/>
            <w:vAlign w:val="bottom"/>
            <w:hideMark/>
          </w:tcPr>
          <w:p w14:paraId="4AEC8703"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90</w:t>
            </w:r>
            <w:r>
              <w:rPr>
                <w:rFonts w:ascii="Calibri" w:eastAsia="Times New Roman" w:hAnsi="Calibri" w:cs="Calibri"/>
                <w:color w:val="000000"/>
                <w:sz w:val="24"/>
                <w:szCs w:val="24"/>
                <w:lang w:eastAsia="en-GB"/>
              </w:rPr>
              <w:t>–</w:t>
            </w:r>
            <w:r w:rsidRPr="00713152">
              <w:rPr>
                <w:rFonts w:ascii="Calibri" w:eastAsia="Times New Roman" w:hAnsi="Calibri" w:cs="Calibri"/>
                <w:color w:val="000000"/>
                <w:sz w:val="24"/>
                <w:szCs w:val="24"/>
                <w:lang w:eastAsia="en-GB"/>
              </w:rPr>
              <w:t>9</w:t>
            </w:r>
            <w:r>
              <w:rPr>
                <w:rFonts w:ascii="Calibri" w:eastAsia="Times New Roman" w:hAnsi="Calibri" w:cs="Calibri"/>
                <w:color w:val="000000"/>
                <w:sz w:val="24"/>
                <w:szCs w:val="24"/>
                <w:lang w:eastAsia="en-GB"/>
              </w:rPr>
              <w:t>4</w:t>
            </w:r>
            <w:r w:rsidRPr="00713152">
              <w:rPr>
                <w:rFonts w:ascii="Calibri" w:eastAsia="Times New Roman" w:hAnsi="Calibri" w:cs="Calibri"/>
                <w:color w:val="000000"/>
                <w:sz w:val="24"/>
                <w:szCs w:val="24"/>
                <w:lang w:eastAsia="en-GB"/>
              </w:rPr>
              <w:t xml:space="preserve"> </w:t>
            </w:r>
          </w:p>
        </w:tc>
        <w:tc>
          <w:tcPr>
            <w:tcW w:w="2252" w:type="dxa"/>
            <w:noWrap/>
            <w:hideMark/>
          </w:tcPr>
          <w:p w14:paraId="6F045CF2"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4,435</w:t>
            </w:r>
          </w:p>
        </w:tc>
        <w:tc>
          <w:tcPr>
            <w:tcW w:w="2594" w:type="dxa"/>
            <w:noWrap/>
            <w:hideMark/>
          </w:tcPr>
          <w:p w14:paraId="156EAE79"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5228037D"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0.0005742387</w:t>
            </w:r>
          </w:p>
        </w:tc>
      </w:tr>
      <w:tr w:rsidR="002E5A73" w:rsidRPr="0078060E" w14:paraId="05A9795E" w14:textId="77777777" w:rsidTr="00A15A2B">
        <w:trPr>
          <w:trHeight w:val="269"/>
        </w:trPr>
        <w:tc>
          <w:tcPr>
            <w:tcW w:w="1959" w:type="dxa"/>
            <w:shd w:val="clear" w:color="auto" w:fill="auto"/>
            <w:noWrap/>
            <w:vAlign w:val="bottom"/>
            <w:hideMark/>
          </w:tcPr>
          <w:p w14:paraId="715FA19D"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95</w:t>
            </w:r>
            <w:r>
              <w:rPr>
                <w:rFonts w:ascii="Calibri" w:eastAsia="Times New Roman" w:hAnsi="Calibri" w:cs="Calibri"/>
                <w:color w:val="000000"/>
                <w:sz w:val="24"/>
                <w:szCs w:val="24"/>
                <w:lang w:eastAsia="en-GB"/>
              </w:rPr>
              <w:t>–99</w:t>
            </w:r>
            <w:r w:rsidRPr="00713152">
              <w:rPr>
                <w:rFonts w:ascii="Calibri" w:eastAsia="Times New Roman" w:hAnsi="Calibri" w:cs="Calibri"/>
                <w:color w:val="000000"/>
                <w:sz w:val="24"/>
                <w:szCs w:val="24"/>
                <w:lang w:eastAsia="en-GB"/>
              </w:rPr>
              <w:t xml:space="preserve"> </w:t>
            </w:r>
          </w:p>
        </w:tc>
        <w:tc>
          <w:tcPr>
            <w:tcW w:w="2252" w:type="dxa"/>
            <w:noWrap/>
            <w:hideMark/>
          </w:tcPr>
          <w:p w14:paraId="7CC7F746"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897</w:t>
            </w:r>
          </w:p>
        </w:tc>
        <w:tc>
          <w:tcPr>
            <w:tcW w:w="2594" w:type="dxa"/>
            <w:noWrap/>
            <w:hideMark/>
          </w:tcPr>
          <w:p w14:paraId="1E66205C"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4EF41A80"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0.0006177715</w:t>
            </w:r>
          </w:p>
        </w:tc>
      </w:tr>
      <w:tr w:rsidR="002E5A73" w:rsidRPr="0078060E" w14:paraId="220AB5C4" w14:textId="77777777" w:rsidTr="00A15A2B">
        <w:trPr>
          <w:trHeight w:val="269"/>
        </w:trPr>
        <w:tc>
          <w:tcPr>
            <w:tcW w:w="1959" w:type="dxa"/>
            <w:shd w:val="clear" w:color="auto" w:fill="auto"/>
            <w:noWrap/>
            <w:vAlign w:val="bottom"/>
            <w:hideMark/>
          </w:tcPr>
          <w:p w14:paraId="51A1CEF5" w14:textId="77777777" w:rsidR="002E5A73" w:rsidRPr="0078060E" w:rsidRDefault="002E5A73" w:rsidP="00A15A2B">
            <w:pPr>
              <w:spacing w:after="0" w:line="240" w:lineRule="auto"/>
              <w:rPr>
                <w:rFonts w:ascii="Calibri" w:eastAsia="Times New Roman" w:hAnsi="Calibri" w:cs="Calibri"/>
                <w:color w:val="000000"/>
                <w:sz w:val="24"/>
                <w:szCs w:val="24"/>
                <w:lang w:eastAsia="en-GB"/>
              </w:rPr>
            </w:pPr>
            <w:r w:rsidRPr="00713152">
              <w:rPr>
                <w:rFonts w:ascii="Calibri" w:eastAsia="Times New Roman" w:hAnsi="Calibri" w:cs="Calibri"/>
                <w:color w:val="000000"/>
                <w:sz w:val="24"/>
                <w:szCs w:val="24"/>
                <w:lang w:eastAsia="en-GB"/>
              </w:rPr>
              <w:t xml:space="preserve">100+ </w:t>
            </w:r>
          </w:p>
        </w:tc>
        <w:tc>
          <w:tcPr>
            <w:tcW w:w="2252" w:type="dxa"/>
            <w:noWrap/>
            <w:hideMark/>
          </w:tcPr>
          <w:p w14:paraId="478D759B"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56</w:t>
            </w:r>
          </w:p>
        </w:tc>
        <w:tc>
          <w:tcPr>
            <w:tcW w:w="2594" w:type="dxa"/>
            <w:noWrap/>
            <w:hideMark/>
          </w:tcPr>
          <w:p w14:paraId="18E584AB"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rsidRPr="00C34A6A">
              <w:rPr>
                <w:rFonts w:ascii="Calibri" w:eastAsia="Times New Roman" w:hAnsi="Calibri" w:cs="Calibri"/>
                <w:color w:val="000000"/>
                <w:sz w:val="24"/>
                <w:szCs w:val="24"/>
                <w:lang w:eastAsia="en-GB"/>
              </w:rPr>
              <w:t>0.0</w:t>
            </w:r>
          </w:p>
        </w:tc>
        <w:tc>
          <w:tcPr>
            <w:tcW w:w="1821" w:type="dxa"/>
            <w:noWrap/>
            <w:hideMark/>
          </w:tcPr>
          <w:p w14:paraId="381F40EE" w14:textId="77777777" w:rsidR="002E5A73" w:rsidRPr="0078060E" w:rsidRDefault="002E5A73" w:rsidP="00A15A2B">
            <w:pPr>
              <w:spacing w:after="0" w:line="240" w:lineRule="auto"/>
              <w:jc w:val="center"/>
              <w:rPr>
                <w:rFonts w:ascii="Calibri" w:eastAsia="Times New Roman" w:hAnsi="Calibri" w:cs="Calibri"/>
                <w:color w:val="000000"/>
                <w:sz w:val="24"/>
                <w:szCs w:val="24"/>
                <w:highlight w:val="yellow"/>
                <w:lang w:eastAsia="en-GB"/>
              </w:rPr>
            </w:pPr>
            <w:r>
              <w:t>0.0098953750</w:t>
            </w:r>
          </w:p>
        </w:tc>
      </w:tr>
    </w:tbl>
    <w:p w14:paraId="0FEBE8BD" w14:textId="77777777" w:rsidR="002E5A73" w:rsidRDefault="002E5A73" w:rsidP="002E5A73">
      <w:pPr>
        <w:spacing w:line="360" w:lineRule="auto"/>
        <w:rPr>
          <w:b/>
          <w:bCs/>
          <w:sz w:val="26"/>
          <w:szCs w:val="26"/>
        </w:rPr>
      </w:pPr>
    </w:p>
    <w:p w14:paraId="684C478A" w14:textId="77777777" w:rsidR="002E5A73" w:rsidRPr="00BC32EF" w:rsidRDefault="002E5A73" w:rsidP="002E5A73">
      <w:pPr>
        <w:rPr>
          <w:b/>
          <w:bCs/>
          <w:sz w:val="26"/>
          <w:szCs w:val="26"/>
        </w:rPr>
      </w:pPr>
      <w:r>
        <w:rPr>
          <w:b/>
          <w:bCs/>
          <w:sz w:val="26"/>
          <w:szCs w:val="26"/>
        </w:rPr>
        <w:br w:type="page"/>
      </w:r>
      <w:r w:rsidRPr="00BC32EF">
        <w:rPr>
          <w:b/>
          <w:bCs/>
          <w:sz w:val="26"/>
          <w:szCs w:val="26"/>
        </w:rPr>
        <w:t>Part II. Intervention indicators</w:t>
      </w:r>
      <w:r>
        <w:rPr>
          <w:b/>
          <w:bCs/>
          <w:sz w:val="26"/>
          <w:szCs w:val="26"/>
        </w:rPr>
        <w:t xml:space="preserve"> </w:t>
      </w:r>
    </w:p>
    <w:p w14:paraId="516171C4" w14:textId="77777777" w:rsidR="002E5A73" w:rsidRDefault="002E5A73" w:rsidP="002E5A73">
      <w:pPr>
        <w:pStyle w:val="ListParagraph"/>
        <w:numPr>
          <w:ilvl w:val="0"/>
          <w:numId w:val="3"/>
        </w:numPr>
        <w:spacing w:line="360" w:lineRule="auto"/>
        <w:rPr>
          <w:b/>
          <w:bCs/>
          <w:sz w:val="24"/>
          <w:szCs w:val="24"/>
        </w:rPr>
      </w:pPr>
      <w:r>
        <w:rPr>
          <w:b/>
          <w:bCs/>
          <w:sz w:val="24"/>
          <w:szCs w:val="24"/>
        </w:rPr>
        <w:t xml:space="preserve">Intervention adherence/efficacy </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765"/>
        <w:gridCol w:w="2794"/>
        <w:gridCol w:w="785"/>
        <w:gridCol w:w="3672"/>
      </w:tblGrid>
      <w:tr w:rsidR="002E5A73" w:rsidRPr="001B4F40" w14:paraId="07D00C13" w14:textId="77777777" w:rsidTr="00A15A2B">
        <w:tc>
          <w:tcPr>
            <w:tcW w:w="982" w:type="pct"/>
          </w:tcPr>
          <w:p w14:paraId="225656FA" w14:textId="77777777" w:rsidR="002E5A73" w:rsidRPr="001B4F40" w:rsidRDefault="002E5A73" w:rsidP="00A15A2B">
            <w:pPr>
              <w:spacing w:after="0"/>
              <w:rPr>
                <w:rFonts w:ascii="Calibri" w:eastAsia="Times New Roman" w:hAnsi="Calibri" w:cs="Calibri"/>
                <w:b/>
                <w:bCs/>
                <w:color w:val="000000"/>
                <w:lang w:eastAsia="en-GB"/>
              </w:rPr>
            </w:pPr>
            <w:r w:rsidRPr="001B4F40">
              <w:rPr>
                <w:rFonts w:ascii="Calibri" w:eastAsia="Times New Roman" w:hAnsi="Calibri" w:cs="Calibri"/>
                <w:b/>
                <w:bCs/>
                <w:color w:val="000000"/>
                <w:lang w:eastAsia="en-GB"/>
              </w:rPr>
              <w:t>Category</w:t>
            </w:r>
          </w:p>
        </w:tc>
        <w:tc>
          <w:tcPr>
            <w:tcW w:w="1553" w:type="pct"/>
          </w:tcPr>
          <w:p w14:paraId="65538870" w14:textId="77777777" w:rsidR="002E5A73" w:rsidRPr="001B4F40" w:rsidRDefault="002E5A73" w:rsidP="00A15A2B">
            <w:pPr>
              <w:spacing w:after="0"/>
              <w:rPr>
                <w:rFonts w:ascii="Calibri" w:eastAsia="Times New Roman" w:hAnsi="Calibri" w:cs="Calibri"/>
                <w:b/>
                <w:bCs/>
                <w:color w:val="000000"/>
                <w:lang w:eastAsia="en-GB"/>
              </w:rPr>
            </w:pPr>
            <w:r w:rsidRPr="001B4F40">
              <w:rPr>
                <w:rFonts w:ascii="Calibri" w:eastAsia="Times New Roman" w:hAnsi="Calibri" w:cs="Calibri"/>
                <w:b/>
                <w:bCs/>
                <w:color w:val="000000"/>
                <w:lang w:eastAsia="en-GB"/>
              </w:rPr>
              <w:t>Description</w:t>
            </w:r>
          </w:p>
        </w:tc>
        <w:tc>
          <w:tcPr>
            <w:tcW w:w="426" w:type="pct"/>
          </w:tcPr>
          <w:p w14:paraId="50A625CD" w14:textId="77777777" w:rsidR="002E5A73" w:rsidRPr="001B4F40" w:rsidRDefault="002E5A73" w:rsidP="00A15A2B">
            <w:pPr>
              <w:spacing w:after="0"/>
              <w:rPr>
                <w:rFonts w:ascii="Calibri" w:eastAsia="Times New Roman" w:hAnsi="Calibri" w:cs="Calibri"/>
                <w:b/>
                <w:bCs/>
                <w:color w:val="000000"/>
                <w:lang w:eastAsia="en-GB"/>
              </w:rPr>
            </w:pPr>
            <w:r w:rsidRPr="001B4F40">
              <w:rPr>
                <w:rFonts w:ascii="Calibri" w:eastAsia="Times New Roman" w:hAnsi="Calibri" w:cs="Calibri"/>
                <w:b/>
                <w:bCs/>
                <w:color w:val="000000"/>
                <w:lang w:eastAsia="en-GB"/>
              </w:rPr>
              <w:t>Value</w:t>
            </w:r>
          </w:p>
        </w:tc>
        <w:tc>
          <w:tcPr>
            <w:tcW w:w="2039" w:type="pct"/>
          </w:tcPr>
          <w:p w14:paraId="1104FFA5" w14:textId="77777777" w:rsidR="002E5A73" w:rsidRPr="001B4F40" w:rsidRDefault="002E5A73" w:rsidP="00A15A2B">
            <w:pPr>
              <w:spacing w:after="0"/>
              <w:rPr>
                <w:rFonts w:ascii="Calibri" w:eastAsia="Times New Roman" w:hAnsi="Calibri" w:cs="Calibri"/>
                <w:b/>
                <w:bCs/>
                <w:color w:val="000000"/>
                <w:lang w:eastAsia="en-GB"/>
              </w:rPr>
            </w:pPr>
            <w:r w:rsidRPr="001B4F40">
              <w:rPr>
                <w:rFonts w:ascii="Calibri" w:eastAsia="Times New Roman" w:hAnsi="Calibri" w:cs="Calibri"/>
                <w:b/>
                <w:bCs/>
                <w:color w:val="000000"/>
                <w:lang w:eastAsia="en-GB"/>
              </w:rPr>
              <w:t>Resource</w:t>
            </w:r>
          </w:p>
        </w:tc>
      </w:tr>
      <w:tr w:rsidR="002E5A73" w:rsidRPr="00164B90" w14:paraId="519E533B" w14:textId="77777777" w:rsidTr="00A15A2B">
        <w:tc>
          <w:tcPr>
            <w:tcW w:w="982" w:type="pct"/>
          </w:tcPr>
          <w:p w14:paraId="536BF20B"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Self-isolation if </w:t>
            </w:r>
            <w:r>
              <w:rPr>
                <w:rFonts w:ascii="Calibri" w:eastAsia="Times New Roman" w:hAnsi="Calibri" w:cs="Calibri"/>
                <w:color w:val="000000"/>
                <w:lang w:eastAsia="en-GB"/>
              </w:rPr>
              <w:t>s</w:t>
            </w:r>
            <w:r w:rsidRPr="001B4F40">
              <w:rPr>
                <w:rFonts w:ascii="Calibri" w:eastAsia="Times New Roman" w:hAnsi="Calibri" w:cs="Calibri"/>
                <w:color w:val="000000"/>
                <w:lang w:eastAsia="en-GB"/>
              </w:rPr>
              <w:t>ymptomatic</w:t>
            </w:r>
          </w:p>
        </w:tc>
        <w:tc>
          <w:tcPr>
            <w:tcW w:w="1553" w:type="pct"/>
          </w:tcPr>
          <w:p w14:paraId="6F317239"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Adherence:</w:t>
            </w:r>
          </w:p>
        </w:tc>
        <w:tc>
          <w:tcPr>
            <w:tcW w:w="426" w:type="pct"/>
          </w:tcPr>
          <w:p w14:paraId="56F7F9EE"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50</w:t>
            </w:r>
          </w:p>
        </w:tc>
        <w:tc>
          <w:tcPr>
            <w:tcW w:w="2039" w:type="pct"/>
          </w:tcPr>
          <w:p w14:paraId="023BF7CE"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 consultations with local experts</w:t>
            </w:r>
          </w:p>
        </w:tc>
      </w:tr>
      <w:tr w:rsidR="002E5A73" w:rsidRPr="00164B90" w14:paraId="1BF3278B" w14:textId="77777777" w:rsidTr="00A15A2B">
        <w:tc>
          <w:tcPr>
            <w:tcW w:w="982" w:type="pct"/>
            <w:vMerge w:val="restart"/>
          </w:tcPr>
          <w:p w14:paraId="41EBDD85"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Screening (</w:t>
            </w:r>
            <w:r>
              <w:rPr>
                <w:rFonts w:ascii="Calibri" w:eastAsia="Times New Roman" w:hAnsi="Calibri" w:cs="Calibri"/>
                <w:color w:val="000000"/>
                <w:lang w:eastAsia="en-GB"/>
              </w:rPr>
              <w:t>index tracing</w:t>
            </w:r>
            <w:r w:rsidRPr="001B4F40">
              <w:rPr>
                <w:rFonts w:ascii="Calibri" w:eastAsia="Times New Roman" w:hAnsi="Calibri" w:cs="Calibri"/>
                <w:color w:val="000000"/>
                <w:lang w:eastAsia="en-GB"/>
              </w:rPr>
              <w:t>)</w:t>
            </w:r>
          </w:p>
          <w:p w14:paraId="109E150E"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1B9A767B"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Overdispersion: (1, 2, 3, 4 or 5)</w:t>
            </w:r>
          </w:p>
        </w:tc>
        <w:tc>
          <w:tcPr>
            <w:tcW w:w="426" w:type="pct"/>
          </w:tcPr>
          <w:p w14:paraId="0FC00F99"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4</w:t>
            </w:r>
          </w:p>
        </w:tc>
        <w:tc>
          <w:tcPr>
            <w:tcW w:w="2039" w:type="pct"/>
          </w:tcPr>
          <w:p w14:paraId="56231BED"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 xml:space="preserve">Assumed following consultations with local experts and based on </w:t>
            </w:r>
            <w:r>
              <w:rPr>
                <w:rFonts w:ascii="Calibri" w:eastAsia="Times New Roman" w:hAnsi="Calibri" w:cs="Calibri"/>
                <w:color w:val="0070C0"/>
                <w:lang w:eastAsia="en-GB"/>
              </w:rPr>
              <w:fldChar w:fldCharType="begin" w:fldLock="1"/>
            </w:r>
            <w:r>
              <w:rPr>
                <w:rFonts w:ascii="Calibri" w:eastAsia="Times New Roman" w:hAnsi="Calibri" w:cs="Calibri"/>
                <w:color w:val="0070C0"/>
                <w:lang w:eastAsia="en-GB"/>
              </w:rPr>
              <w:instrText>ADDIN CSL_CITATION {"citationItems":[{"id":"ITEM-1","itemData":{"URL":"http://med.kg/ru/dokumenty/prikazy.html","accessed":{"date-parts":[["2020","8","3"]]},"author":[{"dropping-particle":"","family":"MoH KR","given":"","non-dropping-particle":"","parse-names":false,"suffix":""}],"id":"ITEM-1","issued":{"date-parts":[["2020"]]},"title":"MoH Prikaz #181 on health system preparedness for the COVID-19 epidemic. March 23, 2020","type":"webpage"},"uris":["http://www.mendeley.com/documents/?uuid=90fec0a3-c3fc-33f3-8429-e27f9e9288e8"]}],"mendeley":{"formattedCitation":"(13)","manualFormatting":"[13]","plainTextFormattedCitation":"(13)","previouslyFormattedCitation":"(12)"},"properties":{"noteIndex":0},"schema":"https://github.com/citation-style-language/schema/raw/master/csl-citation.json"}</w:instrText>
            </w:r>
            <w:r>
              <w:rPr>
                <w:rFonts w:ascii="Calibri" w:eastAsia="Times New Roman" w:hAnsi="Calibri" w:cs="Calibri"/>
                <w:color w:val="0070C0"/>
                <w:lang w:eastAsia="en-GB"/>
              </w:rPr>
              <w:fldChar w:fldCharType="separate"/>
            </w:r>
            <w:r>
              <w:rPr>
                <w:rFonts w:ascii="Calibri" w:eastAsia="Times New Roman" w:hAnsi="Calibri" w:cs="Calibri"/>
                <w:color w:val="0070C0"/>
                <w:lang w:eastAsia="en-GB"/>
              </w:rPr>
              <w:t>[</w:t>
            </w:r>
            <w:r w:rsidRPr="002518DC">
              <w:rPr>
                <w:rFonts w:ascii="Calibri" w:eastAsia="Times New Roman" w:hAnsi="Calibri" w:cs="Calibri"/>
                <w:noProof/>
                <w:color w:val="0070C0"/>
                <w:lang w:eastAsia="en-GB"/>
              </w:rPr>
              <w:t>13</w:t>
            </w:r>
            <w:r>
              <w:rPr>
                <w:rFonts w:ascii="Calibri" w:eastAsia="Times New Roman" w:hAnsi="Calibri" w:cs="Calibri"/>
                <w:noProof/>
                <w:color w:val="0070C0"/>
                <w:lang w:eastAsia="en-GB"/>
              </w:rPr>
              <w:t>]</w:t>
            </w:r>
            <w:r>
              <w:rPr>
                <w:rFonts w:ascii="Calibri" w:eastAsia="Times New Roman" w:hAnsi="Calibri" w:cs="Calibri"/>
                <w:color w:val="0070C0"/>
                <w:lang w:eastAsia="en-GB"/>
              </w:rPr>
              <w:fldChar w:fldCharType="end"/>
            </w:r>
          </w:p>
        </w:tc>
      </w:tr>
      <w:tr w:rsidR="002E5A73" w:rsidRPr="00164B90" w14:paraId="70DA14EE" w14:textId="77777777" w:rsidTr="00A15A2B">
        <w:tc>
          <w:tcPr>
            <w:tcW w:w="982" w:type="pct"/>
            <w:vMerge/>
          </w:tcPr>
          <w:p w14:paraId="5A40CE2B"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03323D30"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Test </w:t>
            </w:r>
            <w:r>
              <w:rPr>
                <w:rFonts w:ascii="Calibri" w:eastAsia="Times New Roman" w:hAnsi="Calibri" w:cs="Calibri"/>
                <w:color w:val="000000"/>
                <w:lang w:eastAsia="en-GB"/>
              </w:rPr>
              <w:t>s</w:t>
            </w:r>
            <w:r w:rsidRPr="001B4F40">
              <w:rPr>
                <w:rFonts w:ascii="Calibri" w:eastAsia="Times New Roman" w:hAnsi="Calibri" w:cs="Calibri"/>
                <w:color w:val="000000"/>
                <w:lang w:eastAsia="en-GB"/>
              </w:rPr>
              <w:t>ensitivity:</w:t>
            </w:r>
          </w:p>
        </w:tc>
        <w:tc>
          <w:tcPr>
            <w:tcW w:w="426" w:type="pct"/>
          </w:tcPr>
          <w:p w14:paraId="39620DB0"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80</w:t>
            </w:r>
          </w:p>
        </w:tc>
        <w:tc>
          <w:tcPr>
            <w:tcW w:w="2039" w:type="pct"/>
          </w:tcPr>
          <w:p w14:paraId="01B3FC13"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 xml:space="preserve">Based on: </w:t>
            </w:r>
            <w:r>
              <w:rPr>
                <w:rFonts w:ascii="Calibri" w:eastAsia="Times New Roman" w:hAnsi="Calibri" w:cs="Calibri"/>
                <w:color w:val="0070C0"/>
                <w:lang w:eastAsia="en-GB"/>
              </w:rPr>
              <w:fldChar w:fldCharType="begin" w:fldLock="1"/>
            </w:r>
            <w:r>
              <w:rPr>
                <w:rFonts w:ascii="Calibri" w:eastAsia="Times New Roman" w:hAnsi="Calibri" w:cs="Calibri"/>
                <w:color w:val="0070C0"/>
                <w:lang w:eastAsia="en-GB"/>
              </w:rPr>
              <w:instrText>ADDIN CSL_CITATION {"citationItems":[{"id":"ITEM-1","itemData":{"URL":"http://med.kg/ru/dokumenty/prikazy.html","accessed":{"date-parts":[["2020","8","3"]]},"author":[{"dropping-particle":"","family":"MoH KR","given":"","non-dropping-particle":"","parse-names":false,"suffix":""}],"id":"ITEM-1","issued":{"date-parts":[["2020"]]},"title":"MoH Prikaz #181 on health system preparedness for the COVID-19 epidemic. March 23, 2020","type":"webpage"},"uris":["http://www.mendeley.com/documents/?uuid=90fec0a3-c3fc-33f3-8429-e27f9e9288e8"]}],"mendeley":{"formattedCitation":"(13)","manualFormatting":"[13]","plainTextFormattedCitation":"(13)","previouslyFormattedCitation":"(12)"},"properties":{"noteIndex":0},"schema":"https://github.com/citation-style-language/schema/raw/master/csl-citation.json"}</w:instrText>
            </w:r>
            <w:r>
              <w:rPr>
                <w:rFonts w:ascii="Calibri" w:eastAsia="Times New Roman" w:hAnsi="Calibri" w:cs="Calibri"/>
                <w:color w:val="0070C0"/>
                <w:lang w:eastAsia="en-GB"/>
              </w:rPr>
              <w:fldChar w:fldCharType="separate"/>
            </w:r>
            <w:r>
              <w:rPr>
                <w:rFonts w:ascii="Calibri" w:eastAsia="Times New Roman" w:hAnsi="Calibri" w:cs="Calibri"/>
                <w:color w:val="0070C0"/>
                <w:lang w:eastAsia="en-GB"/>
              </w:rPr>
              <w:t>[</w:t>
            </w:r>
            <w:r w:rsidRPr="002518DC">
              <w:rPr>
                <w:rFonts w:ascii="Calibri" w:eastAsia="Times New Roman" w:hAnsi="Calibri" w:cs="Calibri"/>
                <w:noProof/>
                <w:color w:val="0070C0"/>
                <w:lang w:eastAsia="en-GB"/>
              </w:rPr>
              <w:t>13</w:t>
            </w:r>
            <w:r>
              <w:rPr>
                <w:rFonts w:ascii="Calibri" w:eastAsia="Times New Roman" w:hAnsi="Calibri" w:cs="Calibri"/>
                <w:noProof/>
                <w:color w:val="0070C0"/>
                <w:lang w:eastAsia="en-GB"/>
              </w:rPr>
              <w:t>]</w:t>
            </w:r>
            <w:r>
              <w:rPr>
                <w:rFonts w:ascii="Calibri" w:eastAsia="Times New Roman" w:hAnsi="Calibri" w:cs="Calibri"/>
                <w:color w:val="0070C0"/>
                <w:lang w:eastAsia="en-GB"/>
              </w:rPr>
              <w:fldChar w:fldCharType="end"/>
            </w:r>
            <w:r>
              <w:rPr>
                <w:rFonts w:ascii="Calibri" w:eastAsia="Times New Roman" w:hAnsi="Calibri" w:cs="Calibri"/>
                <w:color w:val="0070C0"/>
                <w:lang w:eastAsia="en-GB"/>
              </w:rPr>
              <w:t xml:space="preserve"> and consultations with local experts </w:t>
            </w:r>
          </w:p>
        </w:tc>
      </w:tr>
      <w:tr w:rsidR="002E5A73" w:rsidRPr="00164B90" w14:paraId="3A6DE035" w14:textId="77777777" w:rsidTr="00A15A2B">
        <w:tc>
          <w:tcPr>
            <w:tcW w:w="982" w:type="pct"/>
            <w:vMerge w:val="restart"/>
          </w:tcPr>
          <w:p w14:paraId="7961D8DC"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Household </w:t>
            </w:r>
            <w:r>
              <w:rPr>
                <w:rFonts w:ascii="Calibri" w:eastAsia="Times New Roman" w:hAnsi="Calibri" w:cs="Calibri"/>
                <w:color w:val="000000"/>
                <w:lang w:eastAsia="en-GB"/>
              </w:rPr>
              <w:t>i</w:t>
            </w:r>
            <w:r w:rsidRPr="001B4F40">
              <w:rPr>
                <w:rFonts w:ascii="Calibri" w:eastAsia="Times New Roman" w:hAnsi="Calibri" w:cs="Calibri"/>
                <w:color w:val="000000"/>
                <w:lang w:eastAsia="en-GB"/>
              </w:rPr>
              <w:t xml:space="preserve">solation </w:t>
            </w:r>
            <w:r>
              <w:rPr>
                <w:rFonts w:ascii="Calibri" w:eastAsia="Times New Roman" w:hAnsi="Calibri" w:cs="Calibri"/>
                <w:color w:val="000000"/>
                <w:lang w:eastAsia="en-GB"/>
              </w:rPr>
              <w:t>(when symptomatic)</w:t>
            </w:r>
          </w:p>
          <w:p w14:paraId="39C95E24"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7D2D6C68"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Days in isolation for </w:t>
            </w:r>
            <w:r>
              <w:rPr>
                <w:rFonts w:ascii="Calibri" w:eastAsia="Times New Roman" w:hAnsi="Calibri" w:cs="Calibri"/>
                <w:color w:val="000000"/>
                <w:lang w:eastAsia="en-GB"/>
              </w:rPr>
              <w:t xml:space="preserve">an </w:t>
            </w:r>
            <w:r w:rsidRPr="001B4F40">
              <w:rPr>
                <w:rFonts w:ascii="Calibri" w:eastAsia="Times New Roman" w:hAnsi="Calibri" w:cs="Calibri"/>
                <w:color w:val="000000"/>
                <w:lang w:eastAsia="en-GB"/>
              </w:rPr>
              <w:t>average person:</w:t>
            </w:r>
          </w:p>
        </w:tc>
        <w:tc>
          <w:tcPr>
            <w:tcW w:w="426" w:type="pct"/>
          </w:tcPr>
          <w:p w14:paraId="52A4D01C"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14</w:t>
            </w:r>
          </w:p>
        </w:tc>
        <w:tc>
          <w:tcPr>
            <w:tcW w:w="2039" w:type="pct"/>
          </w:tcPr>
          <w:p w14:paraId="17D0A59B"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 xml:space="preserve">Assumed following consultations with local experts and based on: </w:t>
            </w:r>
            <w:r>
              <w:rPr>
                <w:rFonts w:ascii="Calibri" w:eastAsia="Times New Roman" w:hAnsi="Calibri" w:cs="Calibri"/>
                <w:color w:val="0070C0"/>
                <w:lang w:eastAsia="en-GB"/>
              </w:rPr>
              <w:fldChar w:fldCharType="begin" w:fldLock="1"/>
            </w:r>
            <w:r>
              <w:rPr>
                <w:rFonts w:ascii="Calibri" w:eastAsia="Times New Roman" w:hAnsi="Calibri" w:cs="Calibri"/>
                <w:color w:val="0070C0"/>
                <w:lang w:eastAsia="en-GB"/>
              </w:rPr>
              <w:instrText>ADDIN CSL_CITATION {"citationItems":[{"id":"ITEM-1","itemData":{"URL":"https://www.gov.kg/ru/p/covid-19","accessed":{"date-parts":[["2020","8","28"]]},"author":[{"dropping-particle":"","family":"DRCU","given":"","non-dropping-particle":"","parse-names":false,"suffix":""}],"id":"ITEM-1","issued":{"date-parts":[["2020"]]},"title":"Disaster Response Coordination Unit in the Kyrgyz Republic. Press Centre / Нацинальный штаб по противодействию эпидемии COVID-19 в Кыргызской Республике. Пресс центр","type":"webpage"},"uris":["http://www.mendeley.com/documents/?uuid=d96d1d68-a837-32ac-b231-d648c3ded689"]}],"mendeley":{"formattedCitation":"(21)","manualFormatting":"[21","plainTextFormattedCitation":"(21)","previouslyFormattedCitation":"(20)"},"properties":{"noteIndex":0},"schema":"https://github.com/citation-style-language/schema/raw/master/csl-citation.json"}</w:instrText>
            </w:r>
            <w:r>
              <w:rPr>
                <w:rFonts w:ascii="Calibri" w:eastAsia="Times New Roman" w:hAnsi="Calibri" w:cs="Calibri"/>
                <w:color w:val="0070C0"/>
                <w:lang w:eastAsia="en-GB"/>
              </w:rPr>
              <w:fldChar w:fldCharType="separate"/>
            </w:r>
            <w:r>
              <w:rPr>
                <w:rFonts w:ascii="Calibri" w:eastAsia="Times New Roman" w:hAnsi="Calibri" w:cs="Calibri"/>
                <w:color w:val="0070C0"/>
                <w:lang w:eastAsia="en-GB"/>
              </w:rPr>
              <w:t>[</w:t>
            </w:r>
            <w:r w:rsidRPr="002518DC">
              <w:rPr>
                <w:rFonts w:ascii="Calibri" w:eastAsia="Times New Roman" w:hAnsi="Calibri" w:cs="Calibri"/>
                <w:noProof/>
                <w:color w:val="0070C0"/>
                <w:lang w:eastAsia="en-GB"/>
              </w:rPr>
              <w:t>21</w:t>
            </w:r>
            <w:r>
              <w:rPr>
                <w:rFonts w:ascii="Calibri" w:eastAsia="Times New Roman" w:hAnsi="Calibri" w:cs="Calibri"/>
                <w:color w:val="0070C0"/>
                <w:lang w:eastAsia="en-GB"/>
              </w:rPr>
              <w:fldChar w:fldCharType="end"/>
            </w:r>
            <w:r>
              <w:rPr>
                <w:rFonts w:ascii="Calibri" w:eastAsia="Times New Roman" w:hAnsi="Calibri" w:cs="Calibri"/>
                <w:color w:val="0070C0"/>
                <w:lang w:eastAsia="en-GB"/>
              </w:rPr>
              <w:t>]</w:t>
            </w:r>
          </w:p>
        </w:tc>
      </w:tr>
      <w:tr w:rsidR="002E5A73" w:rsidRPr="00164B90" w14:paraId="79E3C84E" w14:textId="77777777" w:rsidTr="00A15A2B">
        <w:tc>
          <w:tcPr>
            <w:tcW w:w="982" w:type="pct"/>
            <w:vMerge/>
          </w:tcPr>
          <w:p w14:paraId="243F343C"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27C3B99D"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Days to implement maximum quarantine coverage: (1 to 5)</w:t>
            </w:r>
          </w:p>
        </w:tc>
        <w:tc>
          <w:tcPr>
            <w:tcW w:w="426" w:type="pct"/>
          </w:tcPr>
          <w:p w14:paraId="1AB49162"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2</w:t>
            </w:r>
          </w:p>
        </w:tc>
        <w:tc>
          <w:tcPr>
            <w:tcW w:w="2039" w:type="pct"/>
          </w:tcPr>
          <w:p w14:paraId="1C3A0BCF"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w:t>
            </w:r>
            <w:r w:rsidDel="00832353">
              <w:rPr>
                <w:rFonts w:ascii="Calibri" w:eastAsia="Times New Roman" w:hAnsi="Calibri" w:cs="Calibri"/>
                <w:color w:val="0070C0"/>
                <w:lang w:eastAsia="en-GB"/>
              </w:rPr>
              <w:t xml:space="preserve"> </w:t>
            </w:r>
            <w:r>
              <w:rPr>
                <w:rFonts w:ascii="Calibri" w:eastAsia="Times New Roman" w:hAnsi="Calibri" w:cs="Calibri"/>
                <w:color w:val="0070C0"/>
                <w:lang w:eastAsia="en-GB"/>
              </w:rPr>
              <w:t xml:space="preserve"> consultations with local experts</w:t>
            </w:r>
          </w:p>
        </w:tc>
      </w:tr>
      <w:tr w:rsidR="002E5A73" w:rsidRPr="00164B90" w14:paraId="7D541177" w14:textId="77777777" w:rsidTr="00A15A2B">
        <w:tc>
          <w:tcPr>
            <w:tcW w:w="982" w:type="pct"/>
            <w:vMerge/>
          </w:tcPr>
          <w:p w14:paraId="32885CCF"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345D506F"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Decrease in the number of other contacts when quarantined:</w:t>
            </w:r>
          </w:p>
        </w:tc>
        <w:tc>
          <w:tcPr>
            <w:tcW w:w="426" w:type="pct"/>
          </w:tcPr>
          <w:p w14:paraId="7AE386FD"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10</w:t>
            </w:r>
          </w:p>
        </w:tc>
        <w:tc>
          <w:tcPr>
            <w:tcW w:w="2039" w:type="pct"/>
          </w:tcPr>
          <w:p w14:paraId="05BEA1DB"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 consultations with local experts</w:t>
            </w:r>
          </w:p>
        </w:tc>
      </w:tr>
      <w:tr w:rsidR="002E5A73" w:rsidRPr="00164B90" w14:paraId="03084A11" w14:textId="77777777" w:rsidTr="00A15A2B">
        <w:tc>
          <w:tcPr>
            <w:tcW w:w="982" w:type="pct"/>
            <w:vMerge/>
          </w:tcPr>
          <w:p w14:paraId="1D2F0A4D"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30AB006B"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Increase in the number of contacts at home when quarantined:</w:t>
            </w:r>
          </w:p>
        </w:tc>
        <w:tc>
          <w:tcPr>
            <w:tcW w:w="426" w:type="pct"/>
          </w:tcPr>
          <w:p w14:paraId="2B3BD78C"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100</w:t>
            </w:r>
          </w:p>
        </w:tc>
        <w:tc>
          <w:tcPr>
            <w:tcW w:w="2039" w:type="pct"/>
          </w:tcPr>
          <w:p w14:paraId="31C8E50F"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 consultations with local experts</w:t>
            </w:r>
          </w:p>
        </w:tc>
      </w:tr>
      <w:tr w:rsidR="002E5A73" w:rsidRPr="00164B90" w14:paraId="5E67B11E" w14:textId="77777777" w:rsidTr="00A15A2B">
        <w:tc>
          <w:tcPr>
            <w:tcW w:w="982" w:type="pct"/>
          </w:tcPr>
          <w:p w14:paraId="700E2AF1"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Social </w:t>
            </w:r>
            <w:r>
              <w:rPr>
                <w:rFonts w:ascii="Calibri" w:eastAsia="Times New Roman" w:hAnsi="Calibri" w:cs="Calibri"/>
                <w:color w:val="000000"/>
                <w:lang w:eastAsia="en-GB"/>
              </w:rPr>
              <w:t>d</w:t>
            </w:r>
            <w:r w:rsidRPr="001B4F40">
              <w:rPr>
                <w:rFonts w:ascii="Calibri" w:eastAsia="Times New Roman" w:hAnsi="Calibri" w:cs="Calibri"/>
                <w:color w:val="000000"/>
                <w:lang w:eastAsia="en-GB"/>
              </w:rPr>
              <w:t>istancing</w:t>
            </w:r>
          </w:p>
        </w:tc>
        <w:tc>
          <w:tcPr>
            <w:tcW w:w="1553" w:type="pct"/>
          </w:tcPr>
          <w:p w14:paraId="6A92454E"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Adherence:</w:t>
            </w:r>
          </w:p>
        </w:tc>
        <w:tc>
          <w:tcPr>
            <w:tcW w:w="426" w:type="pct"/>
          </w:tcPr>
          <w:p w14:paraId="0879A585"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100</w:t>
            </w:r>
          </w:p>
        </w:tc>
        <w:tc>
          <w:tcPr>
            <w:tcW w:w="2039" w:type="pct"/>
          </w:tcPr>
          <w:p w14:paraId="3DCF8D2C"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Based on the assumption that all following social distancing will have been doing it with 100% efficacy. Therefore, in hypothetical scenarios, this parameter will only count for such people</w:t>
            </w:r>
          </w:p>
        </w:tc>
      </w:tr>
      <w:tr w:rsidR="002E5A73" w:rsidRPr="00164B90" w14:paraId="54C0028F" w14:textId="77777777" w:rsidTr="00A15A2B">
        <w:tc>
          <w:tcPr>
            <w:tcW w:w="982" w:type="pct"/>
          </w:tcPr>
          <w:p w14:paraId="4B02A776" w14:textId="77777777" w:rsidR="002E5A73" w:rsidRPr="001B4F40" w:rsidRDefault="002E5A73" w:rsidP="00A15A2B">
            <w:pPr>
              <w:spacing w:after="0"/>
              <w:rPr>
                <w:rFonts w:ascii="Calibri" w:eastAsia="Times New Roman" w:hAnsi="Calibri" w:cs="Calibri"/>
                <w:color w:val="000000"/>
                <w:lang w:eastAsia="en-GB"/>
              </w:rPr>
            </w:pPr>
            <w:bookmarkStart w:id="2" w:name="_Hlk48649935"/>
            <w:r w:rsidRPr="001B4F40">
              <w:rPr>
                <w:rFonts w:ascii="Calibri" w:eastAsia="Times New Roman" w:hAnsi="Calibri" w:cs="Calibri"/>
                <w:color w:val="000000"/>
                <w:lang w:eastAsia="en-GB"/>
              </w:rPr>
              <w:t>Handwashing</w:t>
            </w:r>
          </w:p>
        </w:tc>
        <w:tc>
          <w:tcPr>
            <w:tcW w:w="1553" w:type="pct"/>
          </w:tcPr>
          <w:p w14:paraId="3FDF325C"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Efficacy: (0</w:t>
            </w:r>
            <w:r>
              <w:rPr>
                <w:rFonts w:ascii="Calibri" w:eastAsia="Times New Roman" w:hAnsi="Calibri" w:cs="Calibri"/>
                <w:color w:val="000000"/>
                <w:lang w:eastAsia="en-GB"/>
              </w:rPr>
              <w:t>–</w:t>
            </w:r>
            <w:r w:rsidRPr="001B4F40">
              <w:rPr>
                <w:rFonts w:ascii="Calibri" w:eastAsia="Times New Roman" w:hAnsi="Calibri" w:cs="Calibri"/>
                <w:color w:val="000000"/>
                <w:lang w:eastAsia="en-GB"/>
              </w:rPr>
              <w:t>35%)</w:t>
            </w:r>
          </w:p>
        </w:tc>
        <w:tc>
          <w:tcPr>
            <w:tcW w:w="426" w:type="pct"/>
          </w:tcPr>
          <w:p w14:paraId="709BBAC0"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5</w:t>
            </w:r>
          </w:p>
        </w:tc>
        <w:tc>
          <w:tcPr>
            <w:tcW w:w="2039" w:type="pct"/>
          </w:tcPr>
          <w:p w14:paraId="215854F5"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 xml:space="preserve">Assumed following consultations with local experts and based on </w:t>
            </w:r>
            <w:r>
              <w:rPr>
                <w:rFonts w:ascii="Calibri" w:eastAsia="Times New Roman" w:hAnsi="Calibri" w:cs="Calibri"/>
                <w:color w:val="0070C0"/>
                <w:lang w:eastAsia="en-GB"/>
              </w:rPr>
              <w:fldChar w:fldCharType="begin" w:fldLock="1"/>
            </w:r>
            <w:r>
              <w:rPr>
                <w:rFonts w:ascii="Calibri" w:eastAsia="Times New Roman" w:hAnsi="Calibri" w:cs="Calibri"/>
                <w:color w:val="0070C0"/>
                <w:lang w:eastAsia="en-GB"/>
              </w:rPr>
              <w:instrText>ADDIN CSL_CITATION {"citationItems":[{"id":"ITEM-1","itemData":{"URL":"https://www.rpharms.com/resources/pharmacy-guides/ams-portal/handwashing","accessed":{"date-parts":[["2020","8","28"]]},"author":[{"dropping-particle":"","family":"RPS","given":"","non-dropping-particle":"","parse-names":false,"suffix":""}],"container-title":"Royal Pharmaceutical Society of Great Britain","id":"ITEM-1","issued":{"date-parts":[["2020"]]},"title":"Handwashing","type":"webpage"},"uris":["http://www.mendeley.com/documents/?uuid=b6bd0e16-1451-3160-a5bd-951a59dcccf9"]}],"mendeley":{"formattedCitation":"(35)","manualFormatting":"[35]","plainTextFormattedCitation":"(35)","previouslyFormattedCitation":"(34)"},"properties":{"noteIndex":0},"schema":"https://github.com/citation-style-language/schema/raw/master/csl-citation.json"}</w:instrText>
            </w:r>
            <w:r>
              <w:rPr>
                <w:rFonts w:ascii="Calibri" w:eastAsia="Times New Roman" w:hAnsi="Calibri" w:cs="Calibri"/>
                <w:color w:val="0070C0"/>
                <w:lang w:eastAsia="en-GB"/>
              </w:rPr>
              <w:fldChar w:fldCharType="separate"/>
            </w:r>
            <w:r>
              <w:rPr>
                <w:rFonts w:ascii="Calibri" w:eastAsia="Times New Roman" w:hAnsi="Calibri" w:cs="Calibri"/>
                <w:color w:val="0070C0"/>
                <w:lang w:eastAsia="en-GB"/>
              </w:rPr>
              <w:t>[</w:t>
            </w:r>
            <w:r w:rsidRPr="002518DC">
              <w:rPr>
                <w:rFonts w:ascii="Calibri" w:eastAsia="Times New Roman" w:hAnsi="Calibri" w:cs="Calibri"/>
                <w:noProof/>
                <w:color w:val="0070C0"/>
                <w:lang w:eastAsia="en-GB"/>
              </w:rPr>
              <w:t>35</w:t>
            </w:r>
            <w:r>
              <w:rPr>
                <w:rFonts w:ascii="Calibri" w:eastAsia="Times New Roman" w:hAnsi="Calibri" w:cs="Calibri"/>
                <w:noProof/>
                <w:color w:val="0070C0"/>
                <w:lang w:eastAsia="en-GB"/>
              </w:rPr>
              <w:t>]</w:t>
            </w:r>
            <w:r>
              <w:rPr>
                <w:rFonts w:ascii="Calibri" w:eastAsia="Times New Roman" w:hAnsi="Calibri" w:cs="Calibri"/>
                <w:color w:val="0070C0"/>
                <w:lang w:eastAsia="en-GB"/>
              </w:rPr>
              <w:fldChar w:fldCharType="end"/>
            </w:r>
          </w:p>
        </w:tc>
      </w:tr>
      <w:bookmarkEnd w:id="2"/>
      <w:tr w:rsidR="002E5A73" w:rsidRPr="00164B90" w14:paraId="63D61BCD" w14:textId="77777777" w:rsidTr="00A15A2B">
        <w:tc>
          <w:tcPr>
            <w:tcW w:w="982" w:type="pct"/>
          </w:tcPr>
          <w:p w14:paraId="652F13B2"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Mask wearing</w:t>
            </w:r>
          </w:p>
        </w:tc>
        <w:tc>
          <w:tcPr>
            <w:tcW w:w="1553" w:type="pct"/>
          </w:tcPr>
          <w:p w14:paraId="5A137525"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Efficacy: (0</w:t>
            </w:r>
            <w:r>
              <w:rPr>
                <w:rFonts w:ascii="Calibri" w:eastAsia="Times New Roman" w:hAnsi="Calibri" w:cs="Calibri"/>
                <w:color w:val="000000"/>
                <w:lang w:eastAsia="en-GB"/>
              </w:rPr>
              <w:t>–</w:t>
            </w:r>
            <w:r w:rsidRPr="001B4F40">
              <w:rPr>
                <w:rFonts w:ascii="Calibri" w:eastAsia="Times New Roman" w:hAnsi="Calibri" w:cs="Calibri"/>
                <w:color w:val="000000"/>
                <w:lang w:eastAsia="en-GB"/>
              </w:rPr>
              <w:t>25%)</w:t>
            </w:r>
          </w:p>
        </w:tc>
        <w:tc>
          <w:tcPr>
            <w:tcW w:w="426" w:type="pct"/>
          </w:tcPr>
          <w:p w14:paraId="3781F258"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5</w:t>
            </w:r>
          </w:p>
        </w:tc>
        <w:tc>
          <w:tcPr>
            <w:tcW w:w="2039" w:type="pct"/>
          </w:tcPr>
          <w:p w14:paraId="0F3AF503"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 consultations with local experts</w:t>
            </w:r>
          </w:p>
        </w:tc>
      </w:tr>
      <w:tr w:rsidR="002E5A73" w:rsidRPr="00164B90" w14:paraId="0A839CE7" w14:textId="77777777" w:rsidTr="00A15A2B">
        <w:tc>
          <w:tcPr>
            <w:tcW w:w="982" w:type="pct"/>
            <w:vMerge w:val="restart"/>
          </w:tcPr>
          <w:p w14:paraId="27F56BA7"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Working at </w:t>
            </w:r>
            <w:r>
              <w:rPr>
                <w:rFonts w:ascii="Calibri" w:eastAsia="Times New Roman" w:hAnsi="Calibri" w:cs="Calibri"/>
                <w:color w:val="000000"/>
                <w:lang w:eastAsia="en-GB"/>
              </w:rPr>
              <w:t>h</w:t>
            </w:r>
            <w:r w:rsidRPr="001B4F40">
              <w:rPr>
                <w:rFonts w:ascii="Calibri" w:eastAsia="Times New Roman" w:hAnsi="Calibri" w:cs="Calibri"/>
                <w:color w:val="000000"/>
                <w:lang w:eastAsia="en-GB"/>
              </w:rPr>
              <w:t>ome</w:t>
            </w:r>
          </w:p>
          <w:p w14:paraId="0D2FB9E4"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7AFB1998"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Efficacy:</w:t>
            </w:r>
          </w:p>
        </w:tc>
        <w:tc>
          <w:tcPr>
            <w:tcW w:w="426" w:type="pct"/>
          </w:tcPr>
          <w:p w14:paraId="0E11DE26"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80</w:t>
            </w:r>
          </w:p>
        </w:tc>
        <w:tc>
          <w:tcPr>
            <w:tcW w:w="2039" w:type="pct"/>
            <w:vMerge w:val="restart"/>
          </w:tcPr>
          <w:p w14:paraId="5E840A14"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w:t>
            </w:r>
            <w:r w:rsidDel="00832353">
              <w:rPr>
                <w:rFonts w:ascii="Calibri" w:eastAsia="Times New Roman" w:hAnsi="Calibri" w:cs="Calibri"/>
                <w:color w:val="0070C0"/>
                <w:lang w:eastAsia="en-GB"/>
              </w:rPr>
              <w:t xml:space="preserve"> </w:t>
            </w:r>
            <w:r>
              <w:rPr>
                <w:rFonts w:ascii="Calibri" w:eastAsia="Times New Roman" w:hAnsi="Calibri" w:cs="Calibri"/>
                <w:color w:val="0070C0"/>
                <w:lang w:eastAsia="en-GB"/>
              </w:rPr>
              <w:t xml:space="preserve"> consultations with local experts</w:t>
            </w:r>
          </w:p>
        </w:tc>
      </w:tr>
      <w:tr w:rsidR="002E5A73" w:rsidRPr="00164B90" w14:paraId="3AFE9FCE" w14:textId="77777777" w:rsidTr="00A15A2B">
        <w:tc>
          <w:tcPr>
            <w:tcW w:w="982" w:type="pct"/>
            <w:vMerge/>
          </w:tcPr>
          <w:p w14:paraId="7626F227"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4F24B0C3"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Home contact inflation due to working from home:</w:t>
            </w:r>
          </w:p>
        </w:tc>
        <w:tc>
          <w:tcPr>
            <w:tcW w:w="426" w:type="pct"/>
          </w:tcPr>
          <w:p w14:paraId="4D9E0693"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10</w:t>
            </w:r>
          </w:p>
        </w:tc>
        <w:tc>
          <w:tcPr>
            <w:tcW w:w="2039" w:type="pct"/>
            <w:vMerge/>
          </w:tcPr>
          <w:p w14:paraId="426F1828" w14:textId="77777777" w:rsidR="002E5A73" w:rsidRPr="009E4806" w:rsidRDefault="002E5A73" w:rsidP="00A15A2B">
            <w:pPr>
              <w:spacing w:after="0"/>
              <w:rPr>
                <w:rFonts w:ascii="Calibri" w:eastAsia="Times New Roman" w:hAnsi="Calibri" w:cs="Calibri"/>
                <w:color w:val="0070C0"/>
                <w:lang w:eastAsia="en-GB"/>
              </w:rPr>
            </w:pPr>
          </w:p>
        </w:tc>
      </w:tr>
      <w:tr w:rsidR="002E5A73" w:rsidRPr="00164B90" w14:paraId="040CD137" w14:textId="77777777" w:rsidTr="00A15A2B">
        <w:tc>
          <w:tcPr>
            <w:tcW w:w="982" w:type="pct"/>
            <w:vMerge w:val="restart"/>
          </w:tcPr>
          <w:p w14:paraId="5545838B"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School </w:t>
            </w:r>
            <w:r>
              <w:rPr>
                <w:rFonts w:ascii="Calibri" w:eastAsia="Times New Roman" w:hAnsi="Calibri" w:cs="Calibri"/>
                <w:color w:val="000000"/>
                <w:lang w:eastAsia="en-GB"/>
              </w:rPr>
              <w:t>c</w:t>
            </w:r>
            <w:r w:rsidRPr="001B4F40">
              <w:rPr>
                <w:rFonts w:ascii="Calibri" w:eastAsia="Times New Roman" w:hAnsi="Calibri" w:cs="Calibri"/>
                <w:color w:val="000000"/>
                <w:lang w:eastAsia="en-GB"/>
              </w:rPr>
              <w:t>losures</w:t>
            </w:r>
          </w:p>
          <w:p w14:paraId="66D43FF0"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77A5CF39"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Efficacy:</w:t>
            </w:r>
          </w:p>
        </w:tc>
        <w:tc>
          <w:tcPr>
            <w:tcW w:w="426" w:type="pct"/>
          </w:tcPr>
          <w:p w14:paraId="2F0BB345"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80</w:t>
            </w:r>
          </w:p>
        </w:tc>
        <w:tc>
          <w:tcPr>
            <w:tcW w:w="2039" w:type="pct"/>
            <w:vMerge w:val="restart"/>
          </w:tcPr>
          <w:p w14:paraId="6EE937C1"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Assumed following consultations with local experts</w:t>
            </w:r>
          </w:p>
        </w:tc>
      </w:tr>
      <w:tr w:rsidR="002E5A73" w:rsidRPr="00164B90" w14:paraId="4FF15160" w14:textId="77777777" w:rsidTr="00A15A2B">
        <w:tc>
          <w:tcPr>
            <w:tcW w:w="982" w:type="pct"/>
            <w:vMerge/>
          </w:tcPr>
          <w:p w14:paraId="7AC2E63F"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2207F2BA"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Home contact inflation due to school closure:</w:t>
            </w:r>
          </w:p>
        </w:tc>
        <w:tc>
          <w:tcPr>
            <w:tcW w:w="426" w:type="pct"/>
          </w:tcPr>
          <w:p w14:paraId="25F79C85"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10</w:t>
            </w:r>
          </w:p>
        </w:tc>
        <w:tc>
          <w:tcPr>
            <w:tcW w:w="2039" w:type="pct"/>
            <w:vMerge/>
          </w:tcPr>
          <w:p w14:paraId="273C50B7" w14:textId="77777777" w:rsidR="002E5A73" w:rsidRPr="009E4806" w:rsidRDefault="002E5A73" w:rsidP="00A15A2B">
            <w:pPr>
              <w:spacing w:after="0"/>
              <w:rPr>
                <w:rFonts w:ascii="Calibri" w:eastAsia="Times New Roman" w:hAnsi="Calibri" w:cs="Calibri"/>
                <w:color w:val="0070C0"/>
                <w:lang w:eastAsia="en-GB"/>
              </w:rPr>
            </w:pPr>
          </w:p>
        </w:tc>
      </w:tr>
      <w:tr w:rsidR="002E5A73" w:rsidRPr="00164B90" w14:paraId="0913DC57" w14:textId="77777777" w:rsidTr="00A15A2B">
        <w:tc>
          <w:tcPr>
            <w:tcW w:w="982" w:type="pct"/>
            <w:vMerge w:val="restart"/>
          </w:tcPr>
          <w:p w14:paraId="77CBA1FE"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Shielding the </w:t>
            </w:r>
            <w:r>
              <w:rPr>
                <w:rFonts w:ascii="Calibri" w:eastAsia="Times New Roman" w:hAnsi="Calibri" w:cs="Calibri"/>
                <w:color w:val="000000"/>
                <w:lang w:eastAsia="en-GB"/>
              </w:rPr>
              <w:t>e</w:t>
            </w:r>
            <w:r w:rsidRPr="001B4F40">
              <w:rPr>
                <w:rFonts w:ascii="Calibri" w:eastAsia="Times New Roman" w:hAnsi="Calibri" w:cs="Calibri"/>
                <w:color w:val="000000"/>
                <w:lang w:eastAsia="en-GB"/>
              </w:rPr>
              <w:t>lderly</w:t>
            </w:r>
          </w:p>
          <w:p w14:paraId="5A129079"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153D4DE6"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Efficacy:</w:t>
            </w:r>
          </w:p>
        </w:tc>
        <w:tc>
          <w:tcPr>
            <w:tcW w:w="426" w:type="pct"/>
          </w:tcPr>
          <w:p w14:paraId="6BE21F28"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95</w:t>
            </w:r>
          </w:p>
        </w:tc>
        <w:tc>
          <w:tcPr>
            <w:tcW w:w="2039" w:type="pct"/>
            <w:vMerge w:val="restart"/>
          </w:tcPr>
          <w:p w14:paraId="5CD240FC"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 xml:space="preserve">Assumed following consultations with local experts </w:t>
            </w:r>
          </w:p>
        </w:tc>
      </w:tr>
      <w:tr w:rsidR="002E5A73" w:rsidRPr="00164B90" w14:paraId="0206F50C" w14:textId="77777777" w:rsidTr="00A15A2B">
        <w:tc>
          <w:tcPr>
            <w:tcW w:w="982" w:type="pct"/>
            <w:vMerge/>
          </w:tcPr>
          <w:p w14:paraId="59F8B272" w14:textId="77777777" w:rsidR="002E5A73" w:rsidRPr="001B4F40" w:rsidRDefault="002E5A73" w:rsidP="00A15A2B">
            <w:pPr>
              <w:spacing w:after="0"/>
              <w:rPr>
                <w:rFonts w:ascii="Calibri" w:eastAsia="Times New Roman" w:hAnsi="Calibri" w:cs="Calibri"/>
                <w:color w:val="000000"/>
                <w:lang w:eastAsia="en-GB"/>
              </w:rPr>
            </w:pPr>
          </w:p>
        </w:tc>
        <w:tc>
          <w:tcPr>
            <w:tcW w:w="1553" w:type="pct"/>
          </w:tcPr>
          <w:p w14:paraId="34E2AC23"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Minimum age for shielding </w:t>
            </w:r>
            <w:r>
              <w:rPr>
                <w:rFonts w:ascii="Calibri" w:eastAsia="Times New Roman" w:hAnsi="Calibri" w:cs="Calibri"/>
                <w:color w:val="000000"/>
                <w:lang w:eastAsia="en-GB"/>
              </w:rPr>
              <w:t xml:space="preserve">the </w:t>
            </w:r>
            <w:r w:rsidRPr="001B4F40">
              <w:rPr>
                <w:rFonts w:ascii="Calibri" w:eastAsia="Times New Roman" w:hAnsi="Calibri" w:cs="Calibri"/>
                <w:color w:val="000000"/>
                <w:lang w:eastAsia="en-GB"/>
              </w:rPr>
              <w:t>elderly: (0 to 100)</w:t>
            </w:r>
          </w:p>
        </w:tc>
        <w:tc>
          <w:tcPr>
            <w:tcW w:w="426" w:type="pct"/>
          </w:tcPr>
          <w:p w14:paraId="76F283B1"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70</w:t>
            </w:r>
          </w:p>
        </w:tc>
        <w:tc>
          <w:tcPr>
            <w:tcW w:w="2039" w:type="pct"/>
            <w:vMerge/>
          </w:tcPr>
          <w:p w14:paraId="50B31A5B" w14:textId="77777777" w:rsidR="002E5A73" w:rsidRPr="009E4806" w:rsidRDefault="002E5A73" w:rsidP="00A15A2B">
            <w:pPr>
              <w:spacing w:after="0"/>
              <w:rPr>
                <w:rFonts w:ascii="Calibri" w:eastAsia="Times New Roman" w:hAnsi="Calibri" w:cs="Calibri"/>
                <w:color w:val="0070C0"/>
                <w:lang w:eastAsia="en-GB"/>
              </w:rPr>
            </w:pPr>
          </w:p>
        </w:tc>
      </w:tr>
      <w:tr w:rsidR="002E5A73" w:rsidRPr="00164B90" w14:paraId="0ABE72B3" w14:textId="77777777" w:rsidTr="00A15A2B">
        <w:tc>
          <w:tcPr>
            <w:tcW w:w="982" w:type="pct"/>
          </w:tcPr>
          <w:p w14:paraId="5FF3749F"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 xml:space="preserve">International </w:t>
            </w:r>
            <w:r>
              <w:rPr>
                <w:rFonts w:ascii="Calibri" w:eastAsia="Times New Roman" w:hAnsi="Calibri" w:cs="Calibri"/>
                <w:color w:val="000000"/>
                <w:lang w:eastAsia="en-GB"/>
              </w:rPr>
              <w:t>t</w:t>
            </w:r>
            <w:r w:rsidRPr="001B4F40">
              <w:rPr>
                <w:rFonts w:ascii="Calibri" w:eastAsia="Times New Roman" w:hAnsi="Calibri" w:cs="Calibri"/>
                <w:color w:val="000000"/>
                <w:lang w:eastAsia="en-GB"/>
              </w:rPr>
              <w:t xml:space="preserve">ravel </w:t>
            </w:r>
            <w:r>
              <w:rPr>
                <w:rFonts w:ascii="Calibri" w:eastAsia="Times New Roman" w:hAnsi="Calibri" w:cs="Calibri"/>
                <w:color w:val="000000"/>
                <w:lang w:eastAsia="en-GB"/>
              </w:rPr>
              <w:t>b</w:t>
            </w:r>
            <w:r w:rsidRPr="001B4F40">
              <w:rPr>
                <w:rFonts w:ascii="Calibri" w:eastAsia="Times New Roman" w:hAnsi="Calibri" w:cs="Calibri"/>
                <w:color w:val="000000"/>
                <w:lang w:eastAsia="en-GB"/>
              </w:rPr>
              <w:t>an</w:t>
            </w:r>
          </w:p>
        </w:tc>
        <w:tc>
          <w:tcPr>
            <w:tcW w:w="1553" w:type="pct"/>
          </w:tcPr>
          <w:p w14:paraId="19CDD880"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Efficacy:</w:t>
            </w:r>
          </w:p>
        </w:tc>
        <w:tc>
          <w:tcPr>
            <w:tcW w:w="426" w:type="pct"/>
          </w:tcPr>
          <w:p w14:paraId="08F75DBA" w14:textId="77777777" w:rsidR="002E5A73" w:rsidRPr="001B4F40" w:rsidRDefault="002E5A73" w:rsidP="00A15A2B">
            <w:pPr>
              <w:spacing w:after="0"/>
              <w:rPr>
                <w:rFonts w:ascii="Calibri" w:eastAsia="Times New Roman" w:hAnsi="Calibri" w:cs="Calibri"/>
                <w:color w:val="000000"/>
                <w:lang w:eastAsia="en-GB"/>
              </w:rPr>
            </w:pPr>
            <w:r w:rsidRPr="001B4F40">
              <w:rPr>
                <w:rFonts w:ascii="Calibri" w:eastAsia="Times New Roman" w:hAnsi="Calibri" w:cs="Calibri"/>
                <w:color w:val="000000"/>
                <w:lang w:eastAsia="en-GB"/>
              </w:rPr>
              <w:t>80</w:t>
            </w:r>
          </w:p>
        </w:tc>
        <w:tc>
          <w:tcPr>
            <w:tcW w:w="2039" w:type="pct"/>
          </w:tcPr>
          <w:p w14:paraId="14D35707" w14:textId="77777777" w:rsidR="002E5A73" w:rsidRPr="009E4806" w:rsidRDefault="002E5A73" w:rsidP="00A15A2B">
            <w:pPr>
              <w:spacing w:after="0"/>
              <w:rPr>
                <w:rFonts w:ascii="Calibri" w:eastAsia="Times New Roman" w:hAnsi="Calibri" w:cs="Calibri"/>
                <w:color w:val="0070C0"/>
                <w:lang w:eastAsia="en-GB"/>
              </w:rPr>
            </w:pPr>
            <w:r>
              <w:rPr>
                <w:rFonts w:ascii="Calibri" w:eastAsia="Times New Roman" w:hAnsi="Calibri" w:cs="Calibri"/>
                <w:color w:val="0070C0"/>
                <w:lang w:eastAsia="en-GB"/>
              </w:rPr>
              <w:t xml:space="preserve">Assumed following consultations with local experts and based on: </w:t>
            </w:r>
            <w:r>
              <w:rPr>
                <w:rFonts w:ascii="Calibri" w:eastAsia="Times New Roman" w:hAnsi="Calibri" w:cs="Calibri"/>
                <w:color w:val="0070C0"/>
                <w:lang w:eastAsia="en-GB"/>
              </w:rPr>
              <w:fldChar w:fldCharType="begin" w:fldLock="1"/>
            </w:r>
            <w:r>
              <w:rPr>
                <w:rFonts w:ascii="Calibri" w:eastAsia="Times New Roman" w:hAnsi="Calibri" w:cs="Calibri"/>
                <w:color w:val="0070C0"/>
                <w:lang w:eastAsia="en-GB"/>
              </w:rPr>
              <w:instrText>ADDIN CSL_CITATION {"citationItems":[{"id":"ITEM-1","itemData":{"URL":"https://www.gov.kg/ru/p/covid-19","accessed":{"date-parts":[["2020","8","28"]]},"author":[{"dropping-particle":"","family":"DRCU","given":"","non-dropping-particle":"","parse-names":false,"suffix":""}],"id":"ITEM-1","issued":{"date-parts":[["2020"]]},"title":"Disaster Response Coordination Unit in the Kyrgyz Republic. Press Centre / Нацинальный штаб по противодействию эпидемии COVID-19 в Кыргызской Республике. Пресс центр","type":"webpage"},"uris":["http://www.mendeley.com/documents/?uuid=d96d1d68-a837-32ac-b231-d648c3ded689"]}],"mendeley":{"formattedCitation":"(21)","manualFormatting":"[21]","plainTextFormattedCitation":"(21)","previouslyFormattedCitation":"(20)"},"properties":{"noteIndex":0},"schema":"https://github.com/citation-style-language/schema/raw/master/csl-citation.json"}</w:instrText>
            </w:r>
            <w:r>
              <w:rPr>
                <w:rFonts w:ascii="Calibri" w:eastAsia="Times New Roman" w:hAnsi="Calibri" w:cs="Calibri"/>
                <w:color w:val="0070C0"/>
                <w:lang w:eastAsia="en-GB"/>
              </w:rPr>
              <w:fldChar w:fldCharType="separate"/>
            </w:r>
            <w:r>
              <w:rPr>
                <w:rFonts w:ascii="Calibri" w:eastAsia="Times New Roman" w:hAnsi="Calibri" w:cs="Calibri"/>
                <w:color w:val="0070C0"/>
                <w:lang w:eastAsia="en-GB"/>
              </w:rPr>
              <w:t>[</w:t>
            </w:r>
            <w:r w:rsidRPr="002518DC">
              <w:rPr>
                <w:rFonts w:ascii="Calibri" w:eastAsia="Times New Roman" w:hAnsi="Calibri" w:cs="Calibri"/>
                <w:noProof/>
                <w:color w:val="0070C0"/>
                <w:lang w:eastAsia="en-GB"/>
              </w:rPr>
              <w:t>21</w:t>
            </w:r>
            <w:r>
              <w:rPr>
                <w:rFonts w:ascii="Calibri" w:eastAsia="Times New Roman" w:hAnsi="Calibri" w:cs="Calibri"/>
                <w:noProof/>
                <w:color w:val="0070C0"/>
                <w:lang w:eastAsia="en-GB"/>
              </w:rPr>
              <w:t>]</w:t>
            </w:r>
            <w:r>
              <w:rPr>
                <w:rFonts w:ascii="Calibri" w:eastAsia="Times New Roman" w:hAnsi="Calibri" w:cs="Calibri"/>
                <w:color w:val="0070C0"/>
                <w:lang w:eastAsia="en-GB"/>
              </w:rPr>
              <w:fldChar w:fldCharType="end"/>
            </w:r>
          </w:p>
        </w:tc>
      </w:tr>
    </w:tbl>
    <w:p w14:paraId="2EB0D929" w14:textId="77777777" w:rsidR="00653692" w:rsidRDefault="002D1368"/>
    <w:sectPr w:rsidR="00653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8173E"/>
    <w:multiLevelType w:val="hybridMultilevel"/>
    <w:tmpl w:val="FD7048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644FF"/>
    <w:multiLevelType w:val="hybridMultilevel"/>
    <w:tmpl w:val="C368E252"/>
    <w:lvl w:ilvl="0" w:tplc="F1CCAF9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917337"/>
    <w:multiLevelType w:val="hybridMultilevel"/>
    <w:tmpl w:val="A14A1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73"/>
    <w:rsid w:val="002D1368"/>
    <w:rsid w:val="002E5A73"/>
    <w:rsid w:val="00395C0C"/>
    <w:rsid w:val="00706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A45"/>
  <w15:chartTrackingRefBased/>
  <w15:docId w15:val="{32320349-F8E7-44C4-AF2D-7CBFDE44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A73"/>
    <w:pPr>
      <w:ind w:left="720"/>
      <w:contextualSpacing/>
    </w:pPr>
  </w:style>
  <w:style w:type="table" w:customStyle="1" w:styleId="Table">
    <w:name w:val="Table"/>
    <w:semiHidden/>
    <w:unhideWhenUsed/>
    <w:qFormat/>
    <w:rsid w:val="002E5A73"/>
    <w:pPr>
      <w:spacing w:after="200" w:line="240" w:lineRule="auto"/>
    </w:pPr>
    <w:rPr>
      <w:sz w:val="24"/>
      <w:szCs w:val="24"/>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Predicted vs.actual cumulative cases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'Calibration cum death'!$B$1</c:f>
              <c:strCache>
                <c:ptCount val="1"/>
                <c:pt idx="0">
                  <c:v>Predicted Cummulative death cases</c:v>
                </c:pt>
              </c:strCache>
            </c:strRef>
          </c:tx>
          <c:spPr>
            <a:ln w="15875" cap="rnd">
              <a:solidFill>
                <a:srgbClr val="70AD47">
                  <a:lumMod val="75000"/>
                </a:srgbClr>
              </a:solidFill>
              <a:round/>
            </a:ln>
            <a:effectLst/>
          </c:spPr>
          <c:marker>
            <c:symbol val="none"/>
          </c:marker>
          <c:cat>
            <c:numRef>
              <c:f>'Calibration cum death'!$A$2:$A$78</c:f>
              <c:numCache>
                <c:formatCode>m/d/yyyy</c:formatCode>
                <c:ptCount val="77"/>
                <c:pt idx="0">
                  <c:v>43874</c:v>
                </c:pt>
                <c:pt idx="1">
                  <c:v>43875</c:v>
                </c:pt>
                <c:pt idx="2">
                  <c:v>43876</c:v>
                </c:pt>
                <c:pt idx="3">
                  <c:v>43877</c:v>
                </c:pt>
                <c:pt idx="4">
                  <c:v>43878</c:v>
                </c:pt>
                <c:pt idx="5">
                  <c:v>43879</c:v>
                </c:pt>
                <c:pt idx="6">
                  <c:v>43880</c:v>
                </c:pt>
                <c:pt idx="7">
                  <c:v>43881</c:v>
                </c:pt>
                <c:pt idx="8">
                  <c:v>43882</c:v>
                </c:pt>
                <c:pt idx="9">
                  <c:v>43883</c:v>
                </c:pt>
                <c:pt idx="10">
                  <c:v>43884</c:v>
                </c:pt>
                <c:pt idx="11">
                  <c:v>43885</c:v>
                </c:pt>
                <c:pt idx="12">
                  <c:v>43886</c:v>
                </c:pt>
                <c:pt idx="13">
                  <c:v>43887</c:v>
                </c:pt>
                <c:pt idx="14">
                  <c:v>43888</c:v>
                </c:pt>
                <c:pt idx="15">
                  <c:v>43889</c:v>
                </c:pt>
                <c:pt idx="16">
                  <c:v>43890</c:v>
                </c:pt>
                <c:pt idx="17">
                  <c:v>43891</c:v>
                </c:pt>
                <c:pt idx="18">
                  <c:v>43892</c:v>
                </c:pt>
                <c:pt idx="19">
                  <c:v>43893</c:v>
                </c:pt>
                <c:pt idx="20">
                  <c:v>43894</c:v>
                </c:pt>
                <c:pt idx="21">
                  <c:v>43895</c:v>
                </c:pt>
                <c:pt idx="22">
                  <c:v>43896</c:v>
                </c:pt>
                <c:pt idx="23">
                  <c:v>43897</c:v>
                </c:pt>
                <c:pt idx="24">
                  <c:v>43898</c:v>
                </c:pt>
                <c:pt idx="25">
                  <c:v>43899</c:v>
                </c:pt>
                <c:pt idx="26">
                  <c:v>43900</c:v>
                </c:pt>
                <c:pt idx="27">
                  <c:v>43901</c:v>
                </c:pt>
                <c:pt idx="28">
                  <c:v>43902</c:v>
                </c:pt>
                <c:pt idx="29">
                  <c:v>43903</c:v>
                </c:pt>
                <c:pt idx="30">
                  <c:v>43904</c:v>
                </c:pt>
                <c:pt idx="31">
                  <c:v>43905</c:v>
                </c:pt>
                <c:pt idx="32">
                  <c:v>43906</c:v>
                </c:pt>
                <c:pt idx="33">
                  <c:v>43907</c:v>
                </c:pt>
                <c:pt idx="34">
                  <c:v>43908</c:v>
                </c:pt>
                <c:pt idx="35">
                  <c:v>43909</c:v>
                </c:pt>
                <c:pt idx="36">
                  <c:v>43910</c:v>
                </c:pt>
                <c:pt idx="37">
                  <c:v>43911</c:v>
                </c:pt>
                <c:pt idx="38">
                  <c:v>43912</c:v>
                </c:pt>
                <c:pt idx="39">
                  <c:v>43913</c:v>
                </c:pt>
                <c:pt idx="40">
                  <c:v>43914</c:v>
                </c:pt>
                <c:pt idx="41">
                  <c:v>43915</c:v>
                </c:pt>
                <c:pt idx="42">
                  <c:v>43916</c:v>
                </c:pt>
                <c:pt idx="43">
                  <c:v>43917</c:v>
                </c:pt>
                <c:pt idx="44">
                  <c:v>43918</c:v>
                </c:pt>
                <c:pt idx="45">
                  <c:v>43919</c:v>
                </c:pt>
                <c:pt idx="46">
                  <c:v>43920</c:v>
                </c:pt>
                <c:pt idx="47">
                  <c:v>43921</c:v>
                </c:pt>
                <c:pt idx="48">
                  <c:v>43922</c:v>
                </c:pt>
                <c:pt idx="49">
                  <c:v>43923</c:v>
                </c:pt>
                <c:pt idx="50">
                  <c:v>43924</c:v>
                </c:pt>
                <c:pt idx="51">
                  <c:v>43925</c:v>
                </c:pt>
                <c:pt idx="52">
                  <c:v>43926</c:v>
                </c:pt>
                <c:pt idx="53">
                  <c:v>43927</c:v>
                </c:pt>
                <c:pt idx="54">
                  <c:v>43928</c:v>
                </c:pt>
                <c:pt idx="55">
                  <c:v>43929</c:v>
                </c:pt>
                <c:pt idx="56">
                  <c:v>43930</c:v>
                </c:pt>
                <c:pt idx="57">
                  <c:v>43931</c:v>
                </c:pt>
                <c:pt idx="58">
                  <c:v>43932</c:v>
                </c:pt>
                <c:pt idx="59">
                  <c:v>43933</c:v>
                </c:pt>
                <c:pt idx="60">
                  <c:v>43934</c:v>
                </c:pt>
                <c:pt idx="61">
                  <c:v>43935</c:v>
                </c:pt>
                <c:pt idx="62">
                  <c:v>43936</c:v>
                </c:pt>
                <c:pt idx="63">
                  <c:v>43937</c:v>
                </c:pt>
                <c:pt idx="64">
                  <c:v>43938</c:v>
                </c:pt>
                <c:pt idx="65">
                  <c:v>43939</c:v>
                </c:pt>
                <c:pt idx="66">
                  <c:v>43940</c:v>
                </c:pt>
                <c:pt idx="67">
                  <c:v>43941</c:v>
                </c:pt>
                <c:pt idx="68">
                  <c:v>43942</c:v>
                </c:pt>
                <c:pt idx="69">
                  <c:v>43943</c:v>
                </c:pt>
                <c:pt idx="70">
                  <c:v>43944</c:v>
                </c:pt>
                <c:pt idx="71">
                  <c:v>43945</c:v>
                </c:pt>
                <c:pt idx="72">
                  <c:v>43946</c:v>
                </c:pt>
                <c:pt idx="73">
                  <c:v>43947</c:v>
                </c:pt>
                <c:pt idx="74">
                  <c:v>43948</c:v>
                </c:pt>
                <c:pt idx="75">
                  <c:v>43949</c:v>
                </c:pt>
                <c:pt idx="76">
                  <c:v>43950</c:v>
                </c:pt>
              </c:numCache>
            </c:numRef>
          </c:cat>
          <c:val>
            <c:numRef>
              <c:f>'Calibration cum death'!$B$2:$B$78</c:f>
              <c:numCache>
                <c:formatCode>General</c:formatCode>
                <c:ptCount val="7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1</c:v>
                </c:pt>
                <c:pt idx="43">
                  <c:v>1</c:v>
                </c:pt>
                <c:pt idx="44">
                  <c:v>1</c:v>
                </c:pt>
                <c:pt idx="45">
                  <c:v>1</c:v>
                </c:pt>
                <c:pt idx="46">
                  <c:v>1</c:v>
                </c:pt>
                <c:pt idx="47">
                  <c:v>1</c:v>
                </c:pt>
                <c:pt idx="48">
                  <c:v>1</c:v>
                </c:pt>
                <c:pt idx="49">
                  <c:v>2</c:v>
                </c:pt>
                <c:pt idx="50">
                  <c:v>2</c:v>
                </c:pt>
                <c:pt idx="51">
                  <c:v>2</c:v>
                </c:pt>
                <c:pt idx="52">
                  <c:v>2</c:v>
                </c:pt>
                <c:pt idx="53">
                  <c:v>3</c:v>
                </c:pt>
                <c:pt idx="54">
                  <c:v>3</c:v>
                </c:pt>
                <c:pt idx="55">
                  <c:v>3</c:v>
                </c:pt>
                <c:pt idx="56">
                  <c:v>4</c:v>
                </c:pt>
                <c:pt idx="57">
                  <c:v>4</c:v>
                </c:pt>
                <c:pt idx="58">
                  <c:v>4</c:v>
                </c:pt>
                <c:pt idx="59">
                  <c:v>5</c:v>
                </c:pt>
                <c:pt idx="60">
                  <c:v>5</c:v>
                </c:pt>
                <c:pt idx="61">
                  <c:v>5</c:v>
                </c:pt>
                <c:pt idx="62">
                  <c:v>6</c:v>
                </c:pt>
                <c:pt idx="63">
                  <c:v>6</c:v>
                </c:pt>
                <c:pt idx="64">
                  <c:v>7</c:v>
                </c:pt>
                <c:pt idx="65">
                  <c:v>7</c:v>
                </c:pt>
                <c:pt idx="66">
                  <c:v>7</c:v>
                </c:pt>
                <c:pt idx="67">
                  <c:v>8</c:v>
                </c:pt>
                <c:pt idx="68">
                  <c:v>8</c:v>
                </c:pt>
                <c:pt idx="69">
                  <c:v>9</c:v>
                </c:pt>
                <c:pt idx="70">
                  <c:v>9</c:v>
                </c:pt>
                <c:pt idx="71">
                  <c:v>9</c:v>
                </c:pt>
                <c:pt idx="72">
                  <c:v>10</c:v>
                </c:pt>
                <c:pt idx="73">
                  <c:v>10</c:v>
                </c:pt>
                <c:pt idx="74">
                  <c:v>11</c:v>
                </c:pt>
                <c:pt idx="75">
                  <c:v>11</c:v>
                </c:pt>
                <c:pt idx="76">
                  <c:v>12</c:v>
                </c:pt>
              </c:numCache>
            </c:numRef>
          </c:val>
          <c:smooth val="0"/>
          <c:extLst>
            <c:ext xmlns:c16="http://schemas.microsoft.com/office/drawing/2014/chart" uri="{C3380CC4-5D6E-409C-BE32-E72D297353CC}">
              <c16:uniqueId val="{00000000-2500-46E5-95B0-80072D272F56}"/>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920656384"/>
        <c:axId val="1031362416"/>
      </c:lineChart>
      <c:scatterChart>
        <c:scatterStyle val="lineMarker"/>
        <c:varyColors val="0"/>
        <c:ser>
          <c:idx val="1"/>
          <c:order val="1"/>
          <c:tx>
            <c:strRef>
              <c:f>'Calibration cum death'!$C$1</c:f>
              <c:strCache>
                <c:ptCount val="1"/>
                <c:pt idx="0">
                  <c:v>Actual cumulative death cases</c:v>
                </c:pt>
              </c:strCache>
            </c:strRef>
          </c:tx>
          <c:spPr>
            <a:ln w="25400" cap="rnd">
              <a:noFill/>
              <a:round/>
            </a:ln>
            <a:effectLst/>
          </c:spPr>
          <c:marker>
            <c:symbol val="circle"/>
            <c:size val="5"/>
            <c:spPr>
              <a:solidFill>
                <a:srgbClr val="FF0000"/>
              </a:solidFill>
              <a:ln w="0">
                <a:solidFill>
                  <a:srgbClr val="FF0000"/>
                </a:solidFill>
              </a:ln>
              <a:effectLst/>
            </c:spPr>
          </c:marker>
          <c:xVal>
            <c:numRef>
              <c:f>'Calibration cum death'!$A$2:$A$78</c:f>
              <c:numCache>
                <c:formatCode>m/d/yyyy</c:formatCode>
                <c:ptCount val="77"/>
                <c:pt idx="0">
                  <c:v>43874</c:v>
                </c:pt>
                <c:pt idx="1">
                  <c:v>43875</c:v>
                </c:pt>
                <c:pt idx="2">
                  <c:v>43876</c:v>
                </c:pt>
                <c:pt idx="3">
                  <c:v>43877</c:v>
                </c:pt>
                <c:pt idx="4">
                  <c:v>43878</c:v>
                </c:pt>
                <c:pt idx="5">
                  <c:v>43879</c:v>
                </c:pt>
                <c:pt idx="6">
                  <c:v>43880</c:v>
                </c:pt>
                <c:pt idx="7">
                  <c:v>43881</c:v>
                </c:pt>
                <c:pt idx="8">
                  <c:v>43882</c:v>
                </c:pt>
                <c:pt idx="9">
                  <c:v>43883</c:v>
                </c:pt>
                <c:pt idx="10">
                  <c:v>43884</c:v>
                </c:pt>
                <c:pt idx="11">
                  <c:v>43885</c:v>
                </c:pt>
                <c:pt idx="12">
                  <c:v>43886</c:v>
                </c:pt>
                <c:pt idx="13">
                  <c:v>43887</c:v>
                </c:pt>
                <c:pt idx="14">
                  <c:v>43888</c:v>
                </c:pt>
                <c:pt idx="15">
                  <c:v>43889</c:v>
                </c:pt>
                <c:pt idx="16">
                  <c:v>43890</c:v>
                </c:pt>
                <c:pt idx="17">
                  <c:v>43891</c:v>
                </c:pt>
                <c:pt idx="18">
                  <c:v>43892</c:v>
                </c:pt>
                <c:pt idx="19">
                  <c:v>43893</c:v>
                </c:pt>
                <c:pt idx="20">
                  <c:v>43894</c:v>
                </c:pt>
                <c:pt idx="21">
                  <c:v>43895</c:v>
                </c:pt>
                <c:pt idx="22">
                  <c:v>43896</c:v>
                </c:pt>
                <c:pt idx="23">
                  <c:v>43897</c:v>
                </c:pt>
                <c:pt idx="24">
                  <c:v>43898</c:v>
                </c:pt>
                <c:pt idx="25">
                  <c:v>43899</c:v>
                </c:pt>
                <c:pt idx="26">
                  <c:v>43900</c:v>
                </c:pt>
                <c:pt idx="27">
                  <c:v>43901</c:v>
                </c:pt>
                <c:pt idx="28">
                  <c:v>43902</c:v>
                </c:pt>
                <c:pt idx="29">
                  <c:v>43903</c:v>
                </c:pt>
                <c:pt idx="30">
                  <c:v>43904</c:v>
                </c:pt>
                <c:pt idx="31">
                  <c:v>43905</c:v>
                </c:pt>
                <c:pt idx="32">
                  <c:v>43906</c:v>
                </c:pt>
                <c:pt idx="33">
                  <c:v>43907</c:v>
                </c:pt>
                <c:pt idx="34">
                  <c:v>43908</c:v>
                </c:pt>
                <c:pt idx="35">
                  <c:v>43909</c:v>
                </c:pt>
                <c:pt idx="36">
                  <c:v>43910</c:v>
                </c:pt>
                <c:pt idx="37">
                  <c:v>43911</c:v>
                </c:pt>
                <c:pt idx="38">
                  <c:v>43912</c:v>
                </c:pt>
                <c:pt idx="39">
                  <c:v>43913</c:v>
                </c:pt>
                <c:pt idx="40">
                  <c:v>43914</c:v>
                </c:pt>
                <c:pt idx="41">
                  <c:v>43915</c:v>
                </c:pt>
                <c:pt idx="42">
                  <c:v>43916</c:v>
                </c:pt>
                <c:pt idx="43">
                  <c:v>43917</c:v>
                </c:pt>
                <c:pt idx="44">
                  <c:v>43918</c:v>
                </c:pt>
                <c:pt idx="45">
                  <c:v>43919</c:v>
                </c:pt>
                <c:pt idx="46">
                  <c:v>43920</c:v>
                </c:pt>
                <c:pt idx="47">
                  <c:v>43921</c:v>
                </c:pt>
                <c:pt idx="48">
                  <c:v>43922</c:v>
                </c:pt>
                <c:pt idx="49">
                  <c:v>43923</c:v>
                </c:pt>
                <c:pt idx="50">
                  <c:v>43924</c:v>
                </c:pt>
                <c:pt idx="51">
                  <c:v>43925</c:v>
                </c:pt>
                <c:pt idx="52">
                  <c:v>43926</c:v>
                </c:pt>
                <c:pt idx="53">
                  <c:v>43927</c:v>
                </c:pt>
                <c:pt idx="54">
                  <c:v>43928</c:v>
                </c:pt>
                <c:pt idx="55">
                  <c:v>43929</c:v>
                </c:pt>
                <c:pt idx="56">
                  <c:v>43930</c:v>
                </c:pt>
                <c:pt idx="57">
                  <c:v>43931</c:v>
                </c:pt>
                <c:pt idx="58">
                  <c:v>43932</c:v>
                </c:pt>
                <c:pt idx="59">
                  <c:v>43933</c:v>
                </c:pt>
                <c:pt idx="60">
                  <c:v>43934</c:v>
                </c:pt>
                <c:pt idx="61">
                  <c:v>43935</c:v>
                </c:pt>
                <c:pt idx="62">
                  <c:v>43936</c:v>
                </c:pt>
                <c:pt idx="63">
                  <c:v>43937</c:v>
                </c:pt>
                <c:pt idx="64">
                  <c:v>43938</c:v>
                </c:pt>
                <c:pt idx="65">
                  <c:v>43939</c:v>
                </c:pt>
                <c:pt idx="66">
                  <c:v>43940</c:v>
                </c:pt>
                <c:pt idx="67">
                  <c:v>43941</c:v>
                </c:pt>
                <c:pt idx="68">
                  <c:v>43942</c:v>
                </c:pt>
                <c:pt idx="69">
                  <c:v>43943</c:v>
                </c:pt>
                <c:pt idx="70">
                  <c:v>43944</c:v>
                </c:pt>
                <c:pt idx="71">
                  <c:v>43945</c:v>
                </c:pt>
                <c:pt idx="72">
                  <c:v>43946</c:v>
                </c:pt>
                <c:pt idx="73">
                  <c:v>43947</c:v>
                </c:pt>
                <c:pt idx="74">
                  <c:v>43948</c:v>
                </c:pt>
                <c:pt idx="75">
                  <c:v>43949</c:v>
                </c:pt>
                <c:pt idx="76">
                  <c:v>43950</c:v>
                </c:pt>
              </c:numCache>
            </c:numRef>
          </c:xVal>
          <c:yVal>
            <c:numRef>
              <c:f>'Calibration cum death'!$C$2:$C$78</c:f>
              <c:numCache>
                <c:formatCode>General</c:formatCode>
                <c:ptCount val="77"/>
                <c:pt idx="51">
                  <c:v>1</c:v>
                </c:pt>
                <c:pt idx="52">
                  <c:v>2</c:v>
                </c:pt>
                <c:pt idx="53">
                  <c:v>3</c:v>
                </c:pt>
                <c:pt idx="55">
                  <c:v>5</c:v>
                </c:pt>
                <c:pt idx="59">
                  <c:v>6</c:v>
                </c:pt>
                <c:pt idx="69">
                  <c:v>8</c:v>
                </c:pt>
                <c:pt idx="72">
                  <c:v>10</c:v>
                </c:pt>
              </c:numCache>
            </c:numRef>
          </c:yVal>
          <c:smooth val="0"/>
          <c:extLst>
            <c:ext xmlns:c16="http://schemas.microsoft.com/office/drawing/2014/chart" uri="{C3380CC4-5D6E-409C-BE32-E72D297353CC}">
              <c16:uniqueId val="{00000001-2500-46E5-95B0-80072D272F56}"/>
            </c:ext>
          </c:extLst>
        </c:ser>
        <c:dLbls>
          <c:showLegendKey val="0"/>
          <c:showVal val="0"/>
          <c:showCatName val="0"/>
          <c:showSerName val="0"/>
          <c:showPercent val="0"/>
          <c:showBubbleSize val="0"/>
        </c:dLbls>
        <c:axId val="1161679232"/>
        <c:axId val="1161701280"/>
      </c:scatterChart>
      <c:dateAx>
        <c:axId val="920656384"/>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362416"/>
        <c:crosses val="autoZero"/>
        <c:auto val="1"/>
        <c:lblOffset val="100"/>
        <c:baseTimeUnit val="days"/>
        <c:majorUnit val="1"/>
        <c:majorTimeUnit val="months"/>
      </c:dateAx>
      <c:valAx>
        <c:axId val="1031362416"/>
        <c:scaling>
          <c:orientation val="minMax"/>
          <c:max val="12"/>
          <c:min val="0"/>
        </c:scaling>
        <c:delete val="0"/>
        <c:axPos val="l"/>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Cummulative death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656384"/>
        <c:crosses val="autoZero"/>
        <c:crossBetween val="between"/>
      </c:valAx>
      <c:valAx>
        <c:axId val="1161701280"/>
        <c:scaling>
          <c:orientation val="minMax"/>
          <c:min val="0"/>
        </c:scaling>
        <c:delete val="1"/>
        <c:axPos val="r"/>
        <c:numFmt formatCode="General" sourceLinked="1"/>
        <c:majorTickMark val="out"/>
        <c:minorTickMark val="none"/>
        <c:tickLblPos val="nextTo"/>
        <c:crossAx val="1161679232"/>
        <c:crosses val="max"/>
        <c:crossBetween val="midCat"/>
      </c:valAx>
      <c:valAx>
        <c:axId val="1161679232"/>
        <c:scaling>
          <c:orientation val="minMax"/>
        </c:scaling>
        <c:delete val="1"/>
        <c:axPos val="t"/>
        <c:numFmt formatCode="m/d/yyyy" sourceLinked="1"/>
        <c:majorTickMark val="out"/>
        <c:minorTickMark val="none"/>
        <c:tickLblPos val="nextTo"/>
        <c:crossAx val="1161701280"/>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Predicted vs.actual daily</a:t>
            </a:r>
            <a:r>
              <a:rPr lang="en-US" sz="1000" b="1" baseline="0"/>
              <a:t> new</a:t>
            </a:r>
            <a:r>
              <a:rPr lang="en-US" sz="1000" b="1"/>
              <a:t> cases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'Calibration new cases'!$B$1</c:f>
              <c:strCache>
                <c:ptCount val="1"/>
                <c:pt idx="0">
                  <c:v>Predicted daily reported new cases</c:v>
                </c:pt>
              </c:strCache>
            </c:strRef>
          </c:tx>
          <c:spPr>
            <a:solidFill>
              <a:schemeClr val="accent6">
                <a:lumMod val="75000"/>
              </a:schemeClr>
            </a:solidFill>
            <a:ln w="12700">
              <a:noFill/>
            </a:ln>
            <a:effectLst/>
          </c:spPr>
          <c:cat>
            <c:numRef>
              <c:f>'Calibration new cases'!$A$2:$A$66</c:f>
              <c:numCache>
                <c:formatCode>m/d/yyyy</c:formatCode>
                <c:ptCount val="65"/>
                <c:pt idx="0">
                  <c:v>43874</c:v>
                </c:pt>
                <c:pt idx="1">
                  <c:v>43875</c:v>
                </c:pt>
                <c:pt idx="2">
                  <c:v>43876</c:v>
                </c:pt>
                <c:pt idx="3">
                  <c:v>43877</c:v>
                </c:pt>
                <c:pt idx="4">
                  <c:v>43878</c:v>
                </c:pt>
                <c:pt idx="5">
                  <c:v>43879</c:v>
                </c:pt>
                <c:pt idx="6">
                  <c:v>43880</c:v>
                </c:pt>
                <c:pt idx="7">
                  <c:v>43881</c:v>
                </c:pt>
                <c:pt idx="8">
                  <c:v>43882</c:v>
                </c:pt>
                <c:pt idx="9">
                  <c:v>43883</c:v>
                </c:pt>
                <c:pt idx="10">
                  <c:v>43884</c:v>
                </c:pt>
                <c:pt idx="11">
                  <c:v>43885</c:v>
                </c:pt>
                <c:pt idx="12">
                  <c:v>43886</c:v>
                </c:pt>
                <c:pt idx="13">
                  <c:v>43887</c:v>
                </c:pt>
                <c:pt idx="14">
                  <c:v>43888</c:v>
                </c:pt>
                <c:pt idx="15">
                  <c:v>43889</c:v>
                </c:pt>
                <c:pt idx="16">
                  <c:v>43890</c:v>
                </c:pt>
                <c:pt idx="17">
                  <c:v>43891</c:v>
                </c:pt>
                <c:pt idx="18">
                  <c:v>43892</c:v>
                </c:pt>
                <c:pt idx="19">
                  <c:v>43893</c:v>
                </c:pt>
                <c:pt idx="20">
                  <c:v>43894</c:v>
                </c:pt>
                <c:pt idx="21">
                  <c:v>43895</c:v>
                </c:pt>
                <c:pt idx="22">
                  <c:v>43896</c:v>
                </c:pt>
                <c:pt idx="23">
                  <c:v>43897</c:v>
                </c:pt>
                <c:pt idx="24">
                  <c:v>43898</c:v>
                </c:pt>
                <c:pt idx="25">
                  <c:v>43899</c:v>
                </c:pt>
                <c:pt idx="26">
                  <c:v>43900</c:v>
                </c:pt>
                <c:pt idx="27">
                  <c:v>43901</c:v>
                </c:pt>
                <c:pt idx="28">
                  <c:v>43902</c:v>
                </c:pt>
                <c:pt idx="29">
                  <c:v>43903</c:v>
                </c:pt>
                <c:pt idx="30">
                  <c:v>43904</c:v>
                </c:pt>
                <c:pt idx="31">
                  <c:v>43905</c:v>
                </c:pt>
                <c:pt idx="32">
                  <c:v>43906</c:v>
                </c:pt>
                <c:pt idx="33">
                  <c:v>43907</c:v>
                </c:pt>
                <c:pt idx="34">
                  <c:v>43908</c:v>
                </c:pt>
                <c:pt idx="35">
                  <c:v>43909</c:v>
                </c:pt>
                <c:pt idx="36">
                  <c:v>43910</c:v>
                </c:pt>
                <c:pt idx="37">
                  <c:v>43911</c:v>
                </c:pt>
                <c:pt idx="38">
                  <c:v>43912</c:v>
                </c:pt>
                <c:pt idx="39">
                  <c:v>43913</c:v>
                </c:pt>
                <c:pt idx="40">
                  <c:v>43914</c:v>
                </c:pt>
                <c:pt idx="41">
                  <c:v>43915</c:v>
                </c:pt>
                <c:pt idx="42">
                  <c:v>43916</c:v>
                </c:pt>
                <c:pt idx="43">
                  <c:v>43917</c:v>
                </c:pt>
                <c:pt idx="44">
                  <c:v>43918</c:v>
                </c:pt>
                <c:pt idx="45">
                  <c:v>43919</c:v>
                </c:pt>
                <c:pt idx="46">
                  <c:v>43920</c:v>
                </c:pt>
                <c:pt idx="47">
                  <c:v>43921</c:v>
                </c:pt>
                <c:pt idx="48">
                  <c:v>43922</c:v>
                </c:pt>
                <c:pt idx="49">
                  <c:v>43923</c:v>
                </c:pt>
                <c:pt idx="50">
                  <c:v>43924</c:v>
                </c:pt>
                <c:pt idx="51">
                  <c:v>43925</c:v>
                </c:pt>
                <c:pt idx="52">
                  <c:v>43926</c:v>
                </c:pt>
                <c:pt idx="53">
                  <c:v>43927</c:v>
                </c:pt>
                <c:pt idx="54">
                  <c:v>43928</c:v>
                </c:pt>
                <c:pt idx="55">
                  <c:v>43929</c:v>
                </c:pt>
                <c:pt idx="56">
                  <c:v>43930</c:v>
                </c:pt>
                <c:pt idx="57">
                  <c:v>43931</c:v>
                </c:pt>
                <c:pt idx="58">
                  <c:v>43932</c:v>
                </c:pt>
                <c:pt idx="59">
                  <c:v>43933</c:v>
                </c:pt>
                <c:pt idx="60">
                  <c:v>43934</c:v>
                </c:pt>
                <c:pt idx="61">
                  <c:v>43935</c:v>
                </c:pt>
                <c:pt idx="62">
                  <c:v>43936</c:v>
                </c:pt>
                <c:pt idx="63">
                  <c:v>43937</c:v>
                </c:pt>
                <c:pt idx="64">
                  <c:v>43938</c:v>
                </c:pt>
              </c:numCache>
            </c:numRef>
          </c:cat>
          <c:val>
            <c:numRef>
              <c:f>'Calibration new cases'!$B$2:$B$66</c:f>
              <c:numCache>
                <c:formatCode>General</c:formatCode>
                <c:ptCount val="6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c:v>
                </c:pt>
                <c:pt idx="20">
                  <c:v>1</c:v>
                </c:pt>
                <c:pt idx="21">
                  <c:v>1</c:v>
                </c:pt>
                <c:pt idx="22">
                  <c:v>1</c:v>
                </c:pt>
                <c:pt idx="23">
                  <c:v>1</c:v>
                </c:pt>
                <c:pt idx="24">
                  <c:v>1</c:v>
                </c:pt>
                <c:pt idx="25">
                  <c:v>2</c:v>
                </c:pt>
                <c:pt idx="26">
                  <c:v>2</c:v>
                </c:pt>
                <c:pt idx="27">
                  <c:v>3</c:v>
                </c:pt>
                <c:pt idx="28">
                  <c:v>3</c:v>
                </c:pt>
                <c:pt idx="29">
                  <c:v>4</c:v>
                </c:pt>
                <c:pt idx="30">
                  <c:v>5</c:v>
                </c:pt>
                <c:pt idx="31">
                  <c:v>6</c:v>
                </c:pt>
                <c:pt idx="32">
                  <c:v>7</c:v>
                </c:pt>
                <c:pt idx="33">
                  <c:v>9</c:v>
                </c:pt>
                <c:pt idx="34">
                  <c:v>11</c:v>
                </c:pt>
                <c:pt idx="35">
                  <c:v>14</c:v>
                </c:pt>
                <c:pt idx="36">
                  <c:v>17</c:v>
                </c:pt>
                <c:pt idx="37">
                  <c:v>21</c:v>
                </c:pt>
                <c:pt idx="38">
                  <c:v>26</c:v>
                </c:pt>
                <c:pt idx="39">
                  <c:v>32</c:v>
                </c:pt>
                <c:pt idx="40">
                  <c:v>39</c:v>
                </c:pt>
                <c:pt idx="41">
                  <c:v>48</c:v>
                </c:pt>
                <c:pt idx="42">
                  <c:v>46</c:v>
                </c:pt>
                <c:pt idx="43">
                  <c:v>45</c:v>
                </c:pt>
                <c:pt idx="44">
                  <c:v>45</c:v>
                </c:pt>
                <c:pt idx="45">
                  <c:v>45</c:v>
                </c:pt>
                <c:pt idx="46">
                  <c:v>45</c:v>
                </c:pt>
                <c:pt idx="47">
                  <c:v>45</c:v>
                </c:pt>
                <c:pt idx="48">
                  <c:v>46</c:v>
                </c:pt>
                <c:pt idx="49">
                  <c:v>45</c:v>
                </c:pt>
                <c:pt idx="50">
                  <c:v>44</c:v>
                </c:pt>
                <c:pt idx="51">
                  <c:v>44</c:v>
                </c:pt>
                <c:pt idx="52">
                  <c:v>43</c:v>
                </c:pt>
                <c:pt idx="53">
                  <c:v>43</c:v>
                </c:pt>
                <c:pt idx="54">
                  <c:v>42</c:v>
                </c:pt>
                <c:pt idx="55">
                  <c:v>41</c:v>
                </c:pt>
                <c:pt idx="56">
                  <c:v>41</c:v>
                </c:pt>
                <c:pt idx="57">
                  <c:v>40</c:v>
                </c:pt>
                <c:pt idx="58">
                  <c:v>40</c:v>
                </c:pt>
                <c:pt idx="59">
                  <c:v>39</c:v>
                </c:pt>
                <c:pt idx="60">
                  <c:v>39</c:v>
                </c:pt>
                <c:pt idx="61">
                  <c:v>38</c:v>
                </c:pt>
                <c:pt idx="62">
                  <c:v>38</c:v>
                </c:pt>
                <c:pt idx="63">
                  <c:v>37</c:v>
                </c:pt>
                <c:pt idx="64">
                  <c:v>37</c:v>
                </c:pt>
              </c:numCache>
            </c:numRef>
          </c:val>
          <c:extLst>
            <c:ext xmlns:c16="http://schemas.microsoft.com/office/drawing/2014/chart" uri="{C3380CC4-5D6E-409C-BE32-E72D297353CC}">
              <c16:uniqueId val="{00000000-8A13-47DC-91F5-E26301EAD8C0}"/>
            </c:ext>
          </c:extLst>
        </c:ser>
        <c:dLbls>
          <c:showLegendKey val="0"/>
          <c:showVal val="0"/>
          <c:showCatName val="0"/>
          <c:showSerName val="0"/>
          <c:showPercent val="0"/>
          <c:showBubbleSize val="0"/>
        </c:dLbls>
        <c:axId val="920656384"/>
        <c:axId val="1031362416"/>
      </c:areaChart>
      <c:lineChart>
        <c:grouping val="stacked"/>
        <c:varyColors val="0"/>
        <c:ser>
          <c:idx val="1"/>
          <c:order val="1"/>
          <c:tx>
            <c:strRef>
              <c:f>'Calibration new cases'!$C$1</c:f>
              <c:strCache>
                <c:ptCount val="1"/>
                <c:pt idx="0">
                  <c:v>Predicted daily reported+unreported new cases</c:v>
                </c:pt>
              </c:strCache>
            </c:strRef>
          </c:tx>
          <c:spPr>
            <a:ln w="19050" cap="rnd">
              <a:solidFill>
                <a:srgbClr val="70AD47">
                  <a:lumMod val="60000"/>
                  <a:lumOff val="40000"/>
                </a:srgbClr>
              </a:solidFill>
              <a:round/>
            </a:ln>
            <a:effectLst/>
          </c:spPr>
          <c:marker>
            <c:symbol val="none"/>
          </c:marker>
          <c:cat>
            <c:numRef>
              <c:f>'Calibration new cases'!$A$2:$A$66</c:f>
              <c:numCache>
                <c:formatCode>m/d/yyyy</c:formatCode>
                <c:ptCount val="65"/>
                <c:pt idx="0">
                  <c:v>43874</c:v>
                </c:pt>
                <c:pt idx="1">
                  <c:v>43875</c:v>
                </c:pt>
                <c:pt idx="2">
                  <c:v>43876</c:v>
                </c:pt>
                <c:pt idx="3">
                  <c:v>43877</c:v>
                </c:pt>
                <c:pt idx="4">
                  <c:v>43878</c:v>
                </c:pt>
                <c:pt idx="5">
                  <c:v>43879</c:v>
                </c:pt>
                <c:pt idx="6">
                  <c:v>43880</c:v>
                </c:pt>
                <c:pt idx="7">
                  <c:v>43881</c:v>
                </c:pt>
                <c:pt idx="8">
                  <c:v>43882</c:v>
                </c:pt>
                <c:pt idx="9">
                  <c:v>43883</c:v>
                </c:pt>
                <c:pt idx="10">
                  <c:v>43884</c:v>
                </c:pt>
                <c:pt idx="11">
                  <c:v>43885</c:v>
                </c:pt>
                <c:pt idx="12">
                  <c:v>43886</c:v>
                </c:pt>
                <c:pt idx="13">
                  <c:v>43887</c:v>
                </c:pt>
                <c:pt idx="14">
                  <c:v>43888</c:v>
                </c:pt>
                <c:pt idx="15">
                  <c:v>43889</c:v>
                </c:pt>
                <c:pt idx="16">
                  <c:v>43890</c:v>
                </c:pt>
                <c:pt idx="17">
                  <c:v>43891</c:v>
                </c:pt>
                <c:pt idx="18">
                  <c:v>43892</c:v>
                </c:pt>
                <c:pt idx="19">
                  <c:v>43893</c:v>
                </c:pt>
                <c:pt idx="20">
                  <c:v>43894</c:v>
                </c:pt>
                <c:pt idx="21">
                  <c:v>43895</c:v>
                </c:pt>
                <c:pt idx="22">
                  <c:v>43896</c:v>
                </c:pt>
                <c:pt idx="23">
                  <c:v>43897</c:v>
                </c:pt>
                <c:pt idx="24">
                  <c:v>43898</c:v>
                </c:pt>
                <c:pt idx="25">
                  <c:v>43899</c:v>
                </c:pt>
                <c:pt idx="26">
                  <c:v>43900</c:v>
                </c:pt>
                <c:pt idx="27">
                  <c:v>43901</c:v>
                </c:pt>
                <c:pt idx="28">
                  <c:v>43902</c:v>
                </c:pt>
                <c:pt idx="29">
                  <c:v>43903</c:v>
                </c:pt>
                <c:pt idx="30">
                  <c:v>43904</c:v>
                </c:pt>
                <c:pt idx="31">
                  <c:v>43905</c:v>
                </c:pt>
                <c:pt idx="32">
                  <c:v>43906</c:v>
                </c:pt>
                <c:pt idx="33">
                  <c:v>43907</c:v>
                </c:pt>
                <c:pt idx="34">
                  <c:v>43908</c:v>
                </c:pt>
                <c:pt idx="35">
                  <c:v>43909</c:v>
                </c:pt>
                <c:pt idx="36">
                  <c:v>43910</c:v>
                </c:pt>
                <c:pt idx="37">
                  <c:v>43911</c:v>
                </c:pt>
                <c:pt idx="38">
                  <c:v>43912</c:v>
                </c:pt>
                <c:pt idx="39">
                  <c:v>43913</c:v>
                </c:pt>
                <c:pt idx="40">
                  <c:v>43914</c:v>
                </c:pt>
                <c:pt idx="41">
                  <c:v>43915</c:v>
                </c:pt>
                <c:pt idx="42">
                  <c:v>43916</c:v>
                </c:pt>
                <c:pt idx="43">
                  <c:v>43917</c:v>
                </c:pt>
                <c:pt idx="44">
                  <c:v>43918</c:v>
                </c:pt>
                <c:pt idx="45">
                  <c:v>43919</c:v>
                </c:pt>
                <c:pt idx="46">
                  <c:v>43920</c:v>
                </c:pt>
                <c:pt idx="47">
                  <c:v>43921</c:v>
                </c:pt>
                <c:pt idx="48">
                  <c:v>43922</c:v>
                </c:pt>
                <c:pt idx="49">
                  <c:v>43923</c:v>
                </c:pt>
                <c:pt idx="50">
                  <c:v>43924</c:v>
                </c:pt>
                <c:pt idx="51">
                  <c:v>43925</c:v>
                </c:pt>
                <c:pt idx="52">
                  <c:v>43926</c:v>
                </c:pt>
                <c:pt idx="53">
                  <c:v>43927</c:v>
                </c:pt>
                <c:pt idx="54">
                  <c:v>43928</c:v>
                </c:pt>
                <c:pt idx="55">
                  <c:v>43929</c:v>
                </c:pt>
                <c:pt idx="56">
                  <c:v>43930</c:v>
                </c:pt>
                <c:pt idx="57">
                  <c:v>43931</c:v>
                </c:pt>
                <c:pt idx="58">
                  <c:v>43932</c:v>
                </c:pt>
                <c:pt idx="59">
                  <c:v>43933</c:v>
                </c:pt>
                <c:pt idx="60">
                  <c:v>43934</c:v>
                </c:pt>
                <c:pt idx="61">
                  <c:v>43935</c:v>
                </c:pt>
                <c:pt idx="62">
                  <c:v>43936</c:v>
                </c:pt>
                <c:pt idx="63">
                  <c:v>43937</c:v>
                </c:pt>
                <c:pt idx="64">
                  <c:v>43938</c:v>
                </c:pt>
              </c:numCache>
            </c:numRef>
          </c:cat>
          <c:val>
            <c:numRef>
              <c:f>'Calibration new cases'!$C$2:$C$66</c:f>
              <c:numCache>
                <c:formatCode>General</c:formatCode>
                <c:ptCount val="65"/>
                <c:pt idx="0">
                  <c:v>0</c:v>
                </c:pt>
                <c:pt idx="1">
                  <c:v>0</c:v>
                </c:pt>
                <c:pt idx="2">
                  <c:v>0</c:v>
                </c:pt>
                <c:pt idx="3">
                  <c:v>0</c:v>
                </c:pt>
                <c:pt idx="4">
                  <c:v>0</c:v>
                </c:pt>
                <c:pt idx="5">
                  <c:v>0</c:v>
                </c:pt>
                <c:pt idx="6">
                  <c:v>0</c:v>
                </c:pt>
                <c:pt idx="7">
                  <c:v>1</c:v>
                </c:pt>
                <c:pt idx="8">
                  <c:v>1</c:v>
                </c:pt>
                <c:pt idx="9">
                  <c:v>1</c:v>
                </c:pt>
                <c:pt idx="10">
                  <c:v>1</c:v>
                </c:pt>
                <c:pt idx="11">
                  <c:v>1</c:v>
                </c:pt>
                <c:pt idx="12">
                  <c:v>2</c:v>
                </c:pt>
                <c:pt idx="13">
                  <c:v>2</c:v>
                </c:pt>
                <c:pt idx="14">
                  <c:v>2</c:v>
                </c:pt>
                <c:pt idx="15">
                  <c:v>3</c:v>
                </c:pt>
                <c:pt idx="16">
                  <c:v>3</c:v>
                </c:pt>
                <c:pt idx="17">
                  <c:v>4</c:v>
                </c:pt>
                <c:pt idx="18">
                  <c:v>5</c:v>
                </c:pt>
                <c:pt idx="19">
                  <c:v>6</c:v>
                </c:pt>
                <c:pt idx="20">
                  <c:v>8</c:v>
                </c:pt>
                <c:pt idx="21">
                  <c:v>9</c:v>
                </c:pt>
                <c:pt idx="22">
                  <c:v>11</c:v>
                </c:pt>
                <c:pt idx="23">
                  <c:v>14</c:v>
                </c:pt>
                <c:pt idx="24">
                  <c:v>17</c:v>
                </c:pt>
                <c:pt idx="25">
                  <c:v>21</c:v>
                </c:pt>
                <c:pt idx="26">
                  <c:v>26</c:v>
                </c:pt>
                <c:pt idx="27">
                  <c:v>32</c:v>
                </c:pt>
                <c:pt idx="28">
                  <c:v>39</c:v>
                </c:pt>
                <c:pt idx="29">
                  <c:v>48</c:v>
                </c:pt>
                <c:pt idx="30">
                  <c:v>60</c:v>
                </c:pt>
                <c:pt idx="31">
                  <c:v>73</c:v>
                </c:pt>
                <c:pt idx="32">
                  <c:v>90</c:v>
                </c:pt>
                <c:pt idx="33">
                  <c:v>111</c:v>
                </c:pt>
                <c:pt idx="34">
                  <c:v>137</c:v>
                </c:pt>
                <c:pt idx="35">
                  <c:v>169</c:v>
                </c:pt>
                <c:pt idx="36">
                  <c:v>208</c:v>
                </c:pt>
                <c:pt idx="37">
                  <c:v>257</c:v>
                </c:pt>
                <c:pt idx="38">
                  <c:v>316</c:v>
                </c:pt>
                <c:pt idx="39">
                  <c:v>390</c:v>
                </c:pt>
                <c:pt idx="40">
                  <c:v>480</c:v>
                </c:pt>
                <c:pt idx="41">
                  <c:v>592</c:v>
                </c:pt>
                <c:pt idx="42">
                  <c:v>557</c:v>
                </c:pt>
                <c:pt idx="43">
                  <c:v>537</c:v>
                </c:pt>
                <c:pt idx="44">
                  <c:v>526</c:v>
                </c:pt>
                <c:pt idx="45">
                  <c:v>520</c:v>
                </c:pt>
                <c:pt idx="46">
                  <c:v>517</c:v>
                </c:pt>
                <c:pt idx="47">
                  <c:v>517</c:v>
                </c:pt>
                <c:pt idx="48">
                  <c:v>526</c:v>
                </c:pt>
                <c:pt idx="49">
                  <c:v>513</c:v>
                </c:pt>
                <c:pt idx="50">
                  <c:v>502</c:v>
                </c:pt>
                <c:pt idx="51">
                  <c:v>494</c:v>
                </c:pt>
                <c:pt idx="52">
                  <c:v>486</c:v>
                </c:pt>
                <c:pt idx="53">
                  <c:v>480</c:v>
                </c:pt>
                <c:pt idx="54">
                  <c:v>473</c:v>
                </c:pt>
                <c:pt idx="55">
                  <c:v>467</c:v>
                </c:pt>
                <c:pt idx="56">
                  <c:v>461</c:v>
                </c:pt>
                <c:pt idx="57">
                  <c:v>455</c:v>
                </c:pt>
                <c:pt idx="58">
                  <c:v>450</c:v>
                </c:pt>
                <c:pt idx="59">
                  <c:v>444</c:v>
                </c:pt>
                <c:pt idx="60">
                  <c:v>438</c:v>
                </c:pt>
                <c:pt idx="61">
                  <c:v>432</c:v>
                </c:pt>
                <c:pt idx="62">
                  <c:v>427</c:v>
                </c:pt>
                <c:pt idx="63">
                  <c:v>421</c:v>
                </c:pt>
                <c:pt idx="64">
                  <c:v>416</c:v>
                </c:pt>
              </c:numCache>
            </c:numRef>
          </c:val>
          <c:smooth val="0"/>
          <c:extLst>
            <c:ext xmlns:c16="http://schemas.microsoft.com/office/drawing/2014/chart" uri="{C3380CC4-5D6E-409C-BE32-E72D297353CC}">
              <c16:uniqueId val="{00000001-8A13-47DC-91F5-E26301EAD8C0}"/>
            </c:ext>
          </c:extLst>
        </c:ser>
        <c:dLbls>
          <c:showLegendKey val="0"/>
          <c:showVal val="0"/>
          <c:showCatName val="0"/>
          <c:showSerName val="0"/>
          <c:showPercent val="0"/>
          <c:showBubbleSize val="0"/>
        </c:dLbls>
        <c:marker val="1"/>
        <c:smooth val="0"/>
        <c:axId val="1161679232"/>
        <c:axId val="1161701280"/>
      </c:lineChart>
      <c:scatterChart>
        <c:scatterStyle val="lineMarker"/>
        <c:varyColors val="0"/>
        <c:ser>
          <c:idx val="2"/>
          <c:order val="2"/>
          <c:tx>
            <c:strRef>
              <c:f>'Calibration new cases'!$D$1</c:f>
              <c:strCache>
                <c:ptCount val="1"/>
                <c:pt idx="0">
                  <c:v>Actual daily reported new cases</c:v>
                </c:pt>
              </c:strCache>
            </c:strRef>
          </c:tx>
          <c:spPr>
            <a:ln w="25400" cap="rnd">
              <a:noFill/>
              <a:round/>
            </a:ln>
            <a:effectLst/>
          </c:spPr>
          <c:marker>
            <c:symbol val="circle"/>
            <c:size val="5"/>
            <c:spPr>
              <a:solidFill>
                <a:srgbClr val="FF0000"/>
              </a:solidFill>
              <a:ln w="9525">
                <a:noFill/>
              </a:ln>
              <a:effectLst/>
            </c:spPr>
          </c:marker>
          <c:xVal>
            <c:numRef>
              <c:f>'Calibration new cases'!$A$2:$A$66</c:f>
              <c:numCache>
                <c:formatCode>m/d/yyyy</c:formatCode>
                <c:ptCount val="65"/>
                <c:pt idx="0">
                  <c:v>43874</c:v>
                </c:pt>
                <c:pt idx="1">
                  <c:v>43875</c:v>
                </c:pt>
                <c:pt idx="2">
                  <c:v>43876</c:v>
                </c:pt>
                <c:pt idx="3">
                  <c:v>43877</c:v>
                </c:pt>
                <c:pt idx="4">
                  <c:v>43878</c:v>
                </c:pt>
                <c:pt idx="5">
                  <c:v>43879</c:v>
                </c:pt>
                <c:pt idx="6">
                  <c:v>43880</c:v>
                </c:pt>
                <c:pt idx="7">
                  <c:v>43881</c:v>
                </c:pt>
                <c:pt idx="8">
                  <c:v>43882</c:v>
                </c:pt>
                <c:pt idx="9">
                  <c:v>43883</c:v>
                </c:pt>
                <c:pt idx="10">
                  <c:v>43884</c:v>
                </c:pt>
                <c:pt idx="11">
                  <c:v>43885</c:v>
                </c:pt>
                <c:pt idx="12">
                  <c:v>43886</c:v>
                </c:pt>
                <c:pt idx="13">
                  <c:v>43887</c:v>
                </c:pt>
                <c:pt idx="14">
                  <c:v>43888</c:v>
                </c:pt>
                <c:pt idx="15">
                  <c:v>43889</c:v>
                </c:pt>
                <c:pt idx="16">
                  <c:v>43890</c:v>
                </c:pt>
                <c:pt idx="17">
                  <c:v>43891</c:v>
                </c:pt>
                <c:pt idx="18">
                  <c:v>43892</c:v>
                </c:pt>
                <c:pt idx="19">
                  <c:v>43893</c:v>
                </c:pt>
                <c:pt idx="20">
                  <c:v>43894</c:v>
                </c:pt>
                <c:pt idx="21">
                  <c:v>43895</c:v>
                </c:pt>
                <c:pt idx="22">
                  <c:v>43896</c:v>
                </c:pt>
                <c:pt idx="23">
                  <c:v>43897</c:v>
                </c:pt>
                <c:pt idx="24">
                  <c:v>43898</c:v>
                </c:pt>
                <c:pt idx="25">
                  <c:v>43899</c:v>
                </c:pt>
                <c:pt idx="26">
                  <c:v>43900</c:v>
                </c:pt>
                <c:pt idx="27">
                  <c:v>43901</c:v>
                </c:pt>
                <c:pt idx="28">
                  <c:v>43902</c:v>
                </c:pt>
                <c:pt idx="29">
                  <c:v>43903</c:v>
                </c:pt>
                <c:pt idx="30">
                  <c:v>43904</c:v>
                </c:pt>
                <c:pt idx="31">
                  <c:v>43905</c:v>
                </c:pt>
                <c:pt idx="32">
                  <c:v>43906</c:v>
                </c:pt>
                <c:pt idx="33">
                  <c:v>43907</c:v>
                </c:pt>
                <c:pt idx="34">
                  <c:v>43908</c:v>
                </c:pt>
                <c:pt idx="35">
                  <c:v>43909</c:v>
                </c:pt>
                <c:pt idx="36">
                  <c:v>43910</c:v>
                </c:pt>
                <c:pt idx="37">
                  <c:v>43911</c:v>
                </c:pt>
                <c:pt idx="38">
                  <c:v>43912</c:v>
                </c:pt>
                <c:pt idx="39">
                  <c:v>43913</c:v>
                </c:pt>
                <c:pt idx="40">
                  <c:v>43914</c:v>
                </c:pt>
                <c:pt idx="41">
                  <c:v>43915</c:v>
                </c:pt>
                <c:pt idx="42">
                  <c:v>43916</c:v>
                </c:pt>
                <c:pt idx="43">
                  <c:v>43917</c:v>
                </c:pt>
                <c:pt idx="44">
                  <c:v>43918</c:v>
                </c:pt>
                <c:pt idx="45">
                  <c:v>43919</c:v>
                </c:pt>
                <c:pt idx="46">
                  <c:v>43920</c:v>
                </c:pt>
                <c:pt idx="47">
                  <c:v>43921</c:v>
                </c:pt>
                <c:pt idx="48">
                  <c:v>43922</c:v>
                </c:pt>
                <c:pt idx="49">
                  <c:v>43923</c:v>
                </c:pt>
                <c:pt idx="50">
                  <c:v>43924</c:v>
                </c:pt>
                <c:pt idx="51">
                  <c:v>43925</c:v>
                </c:pt>
                <c:pt idx="52">
                  <c:v>43926</c:v>
                </c:pt>
                <c:pt idx="53">
                  <c:v>43927</c:v>
                </c:pt>
                <c:pt idx="54">
                  <c:v>43928</c:v>
                </c:pt>
                <c:pt idx="55">
                  <c:v>43929</c:v>
                </c:pt>
                <c:pt idx="56">
                  <c:v>43930</c:v>
                </c:pt>
                <c:pt idx="57">
                  <c:v>43931</c:v>
                </c:pt>
                <c:pt idx="58">
                  <c:v>43932</c:v>
                </c:pt>
                <c:pt idx="59">
                  <c:v>43933</c:v>
                </c:pt>
                <c:pt idx="60">
                  <c:v>43934</c:v>
                </c:pt>
                <c:pt idx="61">
                  <c:v>43935</c:v>
                </c:pt>
                <c:pt idx="62">
                  <c:v>43936</c:v>
                </c:pt>
                <c:pt idx="63">
                  <c:v>43937</c:v>
                </c:pt>
                <c:pt idx="64">
                  <c:v>43938</c:v>
                </c:pt>
              </c:numCache>
            </c:numRef>
          </c:xVal>
          <c:yVal>
            <c:numRef>
              <c:f>'Calibration new cases'!$D$2:$D$66</c:f>
              <c:numCache>
                <c:formatCode>General</c:formatCode>
                <c:ptCount val="65"/>
                <c:pt idx="30">
                  <c:v>7</c:v>
                </c:pt>
                <c:pt idx="31">
                  <c:v>2</c:v>
                </c:pt>
                <c:pt idx="32">
                  <c:v>7</c:v>
                </c:pt>
                <c:pt idx="33">
                  <c:v>19</c:v>
                </c:pt>
                <c:pt idx="34">
                  <c:v>11</c:v>
                </c:pt>
                <c:pt idx="35">
                  <c:v>5</c:v>
                </c:pt>
                <c:pt idx="36">
                  <c:v>4</c:v>
                </c:pt>
                <c:pt idx="37">
                  <c:v>12</c:v>
                </c:pt>
                <c:pt idx="38">
                  <c:v>4</c:v>
                </c:pt>
                <c:pt idx="39">
                  <c:v>15</c:v>
                </c:pt>
                <c:pt idx="40">
                  <c:v>10</c:v>
                </c:pt>
                <c:pt idx="41">
                  <c:v>11</c:v>
                </c:pt>
                <c:pt idx="42">
                  <c:v>55</c:v>
                </c:pt>
                <c:pt idx="43">
                  <c:v>9</c:v>
                </c:pt>
                <c:pt idx="44">
                  <c:v>12</c:v>
                </c:pt>
                <c:pt idx="45">
                  <c:v>8</c:v>
                </c:pt>
                <c:pt idx="46">
                  <c:v>5</c:v>
                </c:pt>
                <c:pt idx="47">
                  <c:v>5</c:v>
                </c:pt>
                <c:pt idx="48">
                  <c:v>19</c:v>
                </c:pt>
                <c:pt idx="49">
                  <c:v>19</c:v>
                </c:pt>
                <c:pt idx="50">
                  <c:v>26</c:v>
                </c:pt>
                <c:pt idx="51">
                  <c:v>30</c:v>
                </c:pt>
                <c:pt idx="52">
                  <c:v>25</c:v>
                </c:pt>
                <c:pt idx="53">
                  <c:v>30</c:v>
                </c:pt>
                <c:pt idx="54">
                  <c:v>32</c:v>
                </c:pt>
                <c:pt idx="55">
                  <c:v>19</c:v>
                </c:pt>
                <c:pt idx="56">
                  <c:v>10</c:v>
                </c:pt>
                <c:pt idx="57">
                  <c:v>11</c:v>
                </c:pt>
                <c:pt idx="58">
                  <c:v>24</c:v>
                </c:pt>
                <c:pt idx="59">
                  <c:v>9</c:v>
                </c:pt>
                <c:pt idx="60">
                  <c:v>16</c:v>
                </c:pt>
                <c:pt idx="61">
                  <c:v>12</c:v>
                </c:pt>
                <c:pt idx="62">
                  <c:v>2</c:v>
                </c:pt>
                <c:pt idx="63">
                  <c:v>17</c:v>
                </c:pt>
                <c:pt idx="64">
                  <c:v>23</c:v>
                </c:pt>
              </c:numCache>
            </c:numRef>
          </c:yVal>
          <c:smooth val="0"/>
          <c:extLst>
            <c:ext xmlns:c16="http://schemas.microsoft.com/office/drawing/2014/chart" uri="{C3380CC4-5D6E-409C-BE32-E72D297353CC}">
              <c16:uniqueId val="{00000002-8A13-47DC-91F5-E26301EAD8C0}"/>
            </c:ext>
          </c:extLst>
        </c:ser>
        <c:dLbls>
          <c:showLegendKey val="0"/>
          <c:showVal val="0"/>
          <c:showCatName val="0"/>
          <c:showSerName val="0"/>
          <c:showPercent val="0"/>
          <c:showBubbleSize val="0"/>
        </c:dLbls>
        <c:axId val="1161679232"/>
        <c:axId val="1161701280"/>
      </c:scatterChart>
      <c:dateAx>
        <c:axId val="920656384"/>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362416"/>
        <c:crosses val="autoZero"/>
        <c:auto val="1"/>
        <c:lblOffset val="100"/>
        <c:baseTimeUnit val="days"/>
        <c:majorUnit val="1"/>
        <c:majorTimeUnit val="months"/>
      </c:dateAx>
      <c:valAx>
        <c:axId val="1031362416"/>
        <c:scaling>
          <c:orientation val="minMax"/>
          <c:max val="80"/>
          <c:min val="0"/>
        </c:scaling>
        <c:delete val="0"/>
        <c:axPos val="l"/>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Daily new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656384"/>
        <c:crosses val="autoZero"/>
        <c:crossBetween val="between"/>
      </c:valAx>
      <c:valAx>
        <c:axId val="1161701280"/>
        <c:scaling>
          <c:orientation val="minMax"/>
          <c:min val="0"/>
        </c:scaling>
        <c:delete val="1"/>
        <c:axPos val="r"/>
        <c:numFmt formatCode="General" sourceLinked="1"/>
        <c:majorTickMark val="out"/>
        <c:minorTickMark val="none"/>
        <c:tickLblPos val="nextTo"/>
        <c:crossAx val="1161679232"/>
        <c:crosses val="max"/>
        <c:crossBetween val="between"/>
      </c:valAx>
      <c:dateAx>
        <c:axId val="1161679232"/>
        <c:scaling>
          <c:orientation val="minMax"/>
        </c:scaling>
        <c:delete val="1"/>
        <c:axPos val="t"/>
        <c:numFmt formatCode="m/d/yyyy" sourceLinked="1"/>
        <c:majorTickMark val="out"/>
        <c:minorTickMark val="none"/>
        <c:tickLblPos val="nextTo"/>
        <c:crossAx val="1161701280"/>
        <c:crosses val="max"/>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7</Pages>
  <Words>22304</Words>
  <Characters>127137</Characters>
  <Application>Microsoft Office Word</Application>
  <DocSecurity>0</DocSecurity>
  <Lines>1059</Lines>
  <Paragraphs>298</Paragraphs>
  <ScaleCrop>false</ScaleCrop>
  <Company/>
  <LinksUpToDate>false</LinksUpToDate>
  <CharactersWithSpaces>149143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Ainura Moldokmatova</dc:creator>
  <cp:keywords/>
  <dc:description/>
  <cp:lastModifiedBy>Ainura Moldokmatova</cp:lastModifiedBy>
  <cp:revision>2</cp:revision>
  <dcterms:created xsi:type="dcterms:W3CDTF">2020-12-08T12:47:00Z</dcterms:created>
  <dcterms:modified xsi:type="dcterms:W3CDTF">2020-12-08T12:52:00Z</dcterms:modified>
</cp:coreProperties>
</file>