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0A3" w:rsidRPr="00B42C0F" w:rsidRDefault="003300A3" w:rsidP="003300A3">
      <w:pPr>
        <w:spacing w:after="0" w:line="480" w:lineRule="auto"/>
        <w:rPr>
          <w:b/>
          <w:iCs/>
          <w:sz w:val="24"/>
          <w:szCs w:val="24"/>
          <w:lang w:val="en-US"/>
        </w:rPr>
      </w:pPr>
      <w:bookmarkStart w:id="0" w:name="_GoBack"/>
      <w:bookmarkEnd w:id="0"/>
      <w:r w:rsidRPr="00B42C0F">
        <w:rPr>
          <w:b/>
          <w:iCs/>
          <w:sz w:val="24"/>
          <w:szCs w:val="24"/>
          <w:lang w:val="en-US"/>
        </w:rPr>
        <w:t>Methods</w:t>
      </w:r>
    </w:p>
    <w:p w:rsidR="00B42C0F" w:rsidRPr="00B42C0F" w:rsidRDefault="00B42C0F" w:rsidP="00B42C0F">
      <w:pPr>
        <w:spacing w:after="0" w:line="480" w:lineRule="auto"/>
        <w:jc w:val="both"/>
        <w:rPr>
          <w:b/>
          <w:sz w:val="24"/>
          <w:szCs w:val="24"/>
          <w:lang w:val="en-US"/>
        </w:rPr>
      </w:pPr>
      <w:r w:rsidRPr="00B42C0F">
        <w:rPr>
          <w:b/>
          <w:sz w:val="24"/>
          <w:szCs w:val="24"/>
          <w:lang w:val="en-US"/>
        </w:rPr>
        <w:t>Study design and setting</w:t>
      </w:r>
    </w:p>
    <w:p w:rsidR="00B42C0F" w:rsidRPr="00B42C0F" w:rsidRDefault="00B42C0F" w:rsidP="00B42C0F">
      <w:pPr>
        <w:spacing w:after="0" w:line="480" w:lineRule="auto"/>
        <w:jc w:val="both"/>
        <w:rPr>
          <w:sz w:val="24"/>
          <w:szCs w:val="24"/>
          <w:lang w:val="en-US"/>
        </w:rPr>
      </w:pPr>
      <w:r w:rsidRPr="00B42C0F">
        <w:rPr>
          <w:sz w:val="24"/>
          <w:szCs w:val="24"/>
          <w:lang w:val="en-US"/>
        </w:rPr>
        <w:t>We conducted a retrospective cohort study between March 23 and May 10, 2020, on all subjects screened for the COVID-19 within the UDACS (</w:t>
      </w:r>
      <w:proofErr w:type="spellStart"/>
      <w:r w:rsidRPr="00B42C0F">
        <w:rPr>
          <w:i/>
          <w:sz w:val="24"/>
          <w:szCs w:val="24"/>
          <w:lang w:val="en-US"/>
        </w:rPr>
        <w:t>Unité</w:t>
      </w:r>
      <w:proofErr w:type="spellEnd"/>
      <w:r w:rsidRPr="00B42C0F">
        <w:rPr>
          <w:i/>
          <w:sz w:val="24"/>
          <w:szCs w:val="24"/>
          <w:lang w:val="en-US"/>
        </w:rPr>
        <w:t xml:space="preserve"> de </w:t>
      </w:r>
      <w:proofErr w:type="spellStart"/>
      <w:r w:rsidRPr="00B42C0F">
        <w:rPr>
          <w:i/>
          <w:sz w:val="24"/>
          <w:szCs w:val="24"/>
          <w:lang w:val="en-US"/>
        </w:rPr>
        <w:t>Dépistage</w:t>
      </w:r>
      <w:proofErr w:type="spellEnd"/>
      <w:r w:rsidRPr="00B42C0F">
        <w:rPr>
          <w:i/>
          <w:sz w:val="24"/>
          <w:szCs w:val="24"/>
          <w:lang w:val="en-US"/>
        </w:rPr>
        <w:t xml:space="preserve"> </w:t>
      </w:r>
      <w:proofErr w:type="spellStart"/>
      <w:r w:rsidRPr="00B42C0F">
        <w:rPr>
          <w:i/>
          <w:sz w:val="24"/>
          <w:szCs w:val="24"/>
          <w:lang w:val="en-US"/>
        </w:rPr>
        <w:t>Ambulatoire</w:t>
      </w:r>
      <w:proofErr w:type="spellEnd"/>
      <w:r w:rsidRPr="00B42C0F">
        <w:rPr>
          <w:i/>
          <w:sz w:val="24"/>
          <w:szCs w:val="24"/>
          <w:lang w:val="en-US"/>
        </w:rPr>
        <w:t xml:space="preserve"> du COVID-19 </w:t>
      </w:r>
      <w:proofErr w:type="spellStart"/>
      <w:r w:rsidRPr="00B42C0F">
        <w:rPr>
          <w:i/>
          <w:sz w:val="24"/>
          <w:szCs w:val="24"/>
          <w:lang w:val="en-US"/>
        </w:rPr>
        <w:t>Sud</w:t>
      </w:r>
      <w:proofErr w:type="spellEnd"/>
      <w:r w:rsidRPr="00B42C0F">
        <w:rPr>
          <w:sz w:val="24"/>
          <w:szCs w:val="24"/>
          <w:lang w:val="en-US"/>
        </w:rPr>
        <w:t xml:space="preserve">) of Saint-Pierre, one of the two SARS-CoV-2 testing centers of the </w:t>
      </w:r>
      <w:r w:rsidRPr="00B42C0F">
        <w:rPr>
          <w:i/>
          <w:sz w:val="24"/>
          <w:szCs w:val="24"/>
          <w:lang w:val="en-US"/>
        </w:rPr>
        <w:t xml:space="preserve">Centre </w:t>
      </w:r>
      <w:proofErr w:type="spellStart"/>
      <w:r w:rsidRPr="00B42C0F">
        <w:rPr>
          <w:i/>
          <w:sz w:val="24"/>
          <w:szCs w:val="24"/>
          <w:lang w:val="en-US"/>
        </w:rPr>
        <w:t>Hospitalier</w:t>
      </w:r>
      <w:proofErr w:type="spellEnd"/>
      <w:r w:rsidRPr="00B42C0F">
        <w:rPr>
          <w:i/>
          <w:sz w:val="24"/>
          <w:szCs w:val="24"/>
          <w:lang w:val="en-US"/>
        </w:rPr>
        <w:t xml:space="preserve"> </w:t>
      </w:r>
      <w:proofErr w:type="spellStart"/>
      <w:r w:rsidRPr="00B42C0F">
        <w:rPr>
          <w:i/>
          <w:sz w:val="24"/>
          <w:szCs w:val="24"/>
          <w:lang w:val="en-US"/>
        </w:rPr>
        <w:t>Universitaire</w:t>
      </w:r>
      <w:proofErr w:type="spellEnd"/>
      <w:r w:rsidRPr="00B42C0F">
        <w:rPr>
          <w:i/>
          <w:sz w:val="24"/>
          <w:szCs w:val="24"/>
          <w:lang w:val="en-US"/>
        </w:rPr>
        <w:t xml:space="preserve"> </w:t>
      </w:r>
      <w:proofErr w:type="spellStart"/>
      <w:r w:rsidRPr="00B42C0F">
        <w:rPr>
          <w:i/>
          <w:sz w:val="24"/>
          <w:szCs w:val="24"/>
          <w:lang w:val="en-US"/>
        </w:rPr>
        <w:t>Réunion</w:t>
      </w:r>
      <w:proofErr w:type="spellEnd"/>
      <w:r w:rsidRPr="00B42C0F">
        <w:rPr>
          <w:i/>
          <w:sz w:val="24"/>
          <w:szCs w:val="24"/>
          <w:lang w:val="en-US"/>
        </w:rPr>
        <w:t xml:space="preserve"> </w:t>
      </w:r>
      <w:r w:rsidRPr="00B42C0F">
        <w:rPr>
          <w:sz w:val="24"/>
          <w:szCs w:val="24"/>
          <w:lang w:val="en-US"/>
        </w:rPr>
        <w:t>(CHU). When SARS-CoV-2 emerged on the island, the dengue epidemic was already burgeoning, the UDACS was placed in the second line of the reception system for COVID-19 patients, the frontline being the emergency units and the dedicated hospital for COVID-19 patients, the CHU</w:t>
      </w:r>
      <w:r w:rsidRPr="00B42C0F">
        <w:rPr>
          <w:i/>
          <w:sz w:val="24"/>
          <w:szCs w:val="24"/>
          <w:lang w:val="en-US"/>
        </w:rPr>
        <w:t xml:space="preserve"> </w:t>
      </w:r>
      <w:r w:rsidRPr="00B42C0F">
        <w:rPr>
          <w:sz w:val="24"/>
          <w:szCs w:val="24"/>
          <w:lang w:val="en-US"/>
        </w:rPr>
        <w:t xml:space="preserve">Félix </w:t>
      </w:r>
      <w:proofErr w:type="spellStart"/>
      <w:r w:rsidRPr="00B42C0F">
        <w:rPr>
          <w:sz w:val="24"/>
          <w:szCs w:val="24"/>
          <w:lang w:val="en-US"/>
        </w:rPr>
        <w:t>Guyon</w:t>
      </w:r>
      <w:proofErr w:type="spellEnd"/>
      <w:r w:rsidRPr="00B42C0F">
        <w:rPr>
          <w:sz w:val="24"/>
          <w:szCs w:val="24"/>
          <w:lang w:val="en-US"/>
        </w:rPr>
        <w:t xml:space="preserve">, located in Saint-Denis, whereby are the prefecture and the international </w:t>
      </w:r>
      <w:proofErr w:type="gramStart"/>
      <w:r w:rsidRPr="00B42C0F">
        <w:rPr>
          <w:sz w:val="24"/>
          <w:szCs w:val="24"/>
          <w:lang w:val="en-US"/>
        </w:rPr>
        <w:t>airport.</w:t>
      </w:r>
      <w:proofErr w:type="gramEnd"/>
    </w:p>
    <w:p w:rsidR="00B42C0F" w:rsidRPr="00B42C0F" w:rsidRDefault="00B42C0F" w:rsidP="00B42C0F">
      <w:pPr>
        <w:spacing w:after="0" w:line="480" w:lineRule="auto"/>
        <w:jc w:val="both"/>
        <w:rPr>
          <w:b/>
          <w:sz w:val="24"/>
          <w:szCs w:val="24"/>
          <w:lang w:val="en-US"/>
        </w:rPr>
      </w:pPr>
      <w:r w:rsidRPr="00B42C0F">
        <w:rPr>
          <w:b/>
          <w:sz w:val="24"/>
          <w:szCs w:val="24"/>
          <w:lang w:val="en-US"/>
        </w:rPr>
        <w:t>Ethics statement</w:t>
      </w:r>
      <w:r w:rsidRPr="00B42C0F">
        <w:rPr>
          <w:b/>
          <w:sz w:val="24"/>
          <w:szCs w:val="24"/>
          <w:lang w:val="en-US"/>
        </w:rPr>
        <w:tab/>
      </w:r>
    </w:p>
    <w:p w:rsidR="00B42C0F" w:rsidRPr="00B42C0F" w:rsidRDefault="00B42C0F" w:rsidP="00B42C0F">
      <w:pPr>
        <w:spacing w:after="0" w:line="480" w:lineRule="auto"/>
        <w:jc w:val="both"/>
        <w:rPr>
          <w:sz w:val="24"/>
          <w:szCs w:val="24"/>
          <w:lang w:val="en-US"/>
        </w:rPr>
      </w:pPr>
      <w:r w:rsidRPr="00B42C0F">
        <w:rPr>
          <w:sz w:val="24"/>
          <w:szCs w:val="24"/>
          <w:lang w:val="en-US"/>
        </w:rPr>
        <w:t xml:space="preserve">Outpatients presenting consecutively at the SARS-CoV-2 testing center were informed of the study orally and by means of an information sheet.  People who expressed no opposition were asked to answer a questionnaire and surveyed in face-to-face by a nurse, in accordance to the French legislation on bioethics for retrospective researches. Patient’s medical records were retrospectively reviewed, and de-identified data were collected in standardized forms according the MR-004 procedure of the </w:t>
      </w:r>
      <w:r w:rsidRPr="00B42C0F">
        <w:rPr>
          <w:i/>
          <w:sz w:val="24"/>
          <w:szCs w:val="24"/>
          <w:lang w:val="en-US"/>
        </w:rPr>
        <w:t xml:space="preserve">Commission </w:t>
      </w:r>
      <w:proofErr w:type="spellStart"/>
      <w:r w:rsidRPr="00B42C0F">
        <w:rPr>
          <w:i/>
          <w:sz w:val="24"/>
          <w:szCs w:val="24"/>
          <w:lang w:val="en-US"/>
        </w:rPr>
        <w:t>Nationale</w:t>
      </w:r>
      <w:proofErr w:type="spellEnd"/>
      <w:r w:rsidRPr="00B42C0F">
        <w:rPr>
          <w:i/>
          <w:sz w:val="24"/>
          <w:szCs w:val="24"/>
          <w:lang w:val="en-US"/>
        </w:rPr>
        <w:t xml:space="preserve"> de </w:t>
      </w:r>
      <w:proofErr w:type="spellStart"/>
      <w:r w:rsidRPr="00B42C0F">
        <w:rPr>
          <w:i/>
          <w:sz w:val="24"/>
          <w:szCs w:val="24"/>
          <w:lang w:val="en-US"/>
        </w:rPr>
        <w:t>l’Informatique</w:t>
      </w:r>
      <w:proofErr w:type="spellEnd"/>
      <w:r w:rsidRPr="00B42C0F">
        <w:rPr>
          <w:i/>
          <w:sz w:val="24"/>
          <w:szCs w:val="24"/>
          <w:lang w:val="en-US"/>
        </w:rPr>
        <w:t xml:space="preserve"> </w:t>
      </w:r>
      <w:proofErr w:type="gramStart"/>
      <w:r w:rsidRPr="00B42C0F">
        <w:rPr>
          <w:i/>
          <w:sz w:val="24"/>
          <w:szCs w:val="24"/>
          <w:lang w:val="en-US"/>
        </w:rPr>
        <w:t>et</w:t>
      </w:r>
      <w:proofErr w:type="gramEnd"/>
      <w:r w:rsidRPr="00B42C0F">
        <w:rPr>
          <w:i/>
          <w:sz w:val="24"/>
          <w:szCs w:val="24"/>
          <w:lang w:val="en-US"/>
        </w:rPr>
        <w:t xml:space="preserve"> des </w:t>
      </w:r>
      <w:proofErr w:type="spellStart"/>
      <w:r w:rsidRPr="00B42C0F">
        <w:rPr>
          <w:i/>
          <w:sz w:val="24"/>
          <w:szCs w:val="24"/>
          <w:lang w:val="en-US"/>
        </w:rPr>
        <w:t>Libertés</w:t>
      </w:r>
      <w:proofErr w:type="spellEnd"/>
      <w:r w:rsidRPr="00B42C0F">
        <w:rPr>
          <w:sz w:val="24"/>
          <w:szCs w:val="24"/>
          <w:lang w:val="en-US"/>
        </w:rPr>
        <w:t xml:space="preserve"> (the French information protection commission). The ethical character of this study on previously collected data was approved by the Scientific Committee for COVID-19 research of the CHU </w:t>
      </w:r>
      <w:proofErr w:type="spellStart"/>
      <w:r w:rsidRPr="00B42C0F">
        <w:rPr>
          <w:sz w:val="24"/>
          <w:szCs w:val="24"/>
          <w:lang w:val="en-US"/>
        </w:rPr>
        <w:t>Réunion</w:t>
      </w:r>
      <w:proofErr w:type="spellEnd"/>
      <w:r w:rsidRPr="00B42C0F">
        <w:rPr>
          <w:sz w:val="24"/>
          <w:szCs w:val="24"/>
          <w:lang w:val="en-US"/>
        </w:rPr>
        <w:t xml:space="preserve"> and de-identified data were registered on the Health Data Hub.</w:t>
      </w:r>
    </w:p>
    <w:p w:rsidR="003300A3" w:rsidRPr="00B42C0F" w:rsidRDefault="003300A3" w:rsidP="003300A3">
      <w:pPr>
        <w:spacing w:after="0" w:line="480" w:lineRule="auto"/>
        <w:jc w:val="both"/>
        <w:rPr>
          <w:b/>
          <w:sz w:val="24"/>
          <w:szCs w:val="24"/>
          <w:lang w:val="en-US"/>
        </w:rPr>
      </w:pPr>
      <w:r w:rsidRPr="00B42C0F">
        <w:rPr>
          <w:b/>
          <w:sz w:val="24"/>
          <w:szCs w:val="24"/>
          <w:lang w:val="en-US"/>
        </w:rPr>
        <w:t>Data collection</w:t>
      </w:r>
    </w:p>
    <w:p w:rsidR="003300A3" w:rsidRPr="00B42C0F" w:rsidRDefault="003300A3" w:rsidP="003300A3">
      <w:pPr>
        <w:spacing w:after="0" w:line="480" w:lineRule="auto"/>
        <w:jc w:val="both"/>
        <w:rPr>
          <w:sz w:val="24"/>
          <w:szCs w:val="24"/>
          <w:lang w:val="en-US"/>
        </w:rPr>
      </w:pPr>
      <w:r w:rsidRPr="00B42C0F">
        <w:rPr>
          <w:sz w:val="24"/>
          <w:szCs w:val="24"/>
          <w:lang w:val="en-US"/>
        </w:rPr>
        <w:t>The items of the questionnaire included information on demographics</w:t>
      </w:r>
      <w:r w:rsidR="0098552D" w:rsidRPr="00B42C0F">
        <w:rPr>
          <w:sz w:val="24"/>
          <w:szCs w:val="24"/>
          <w:lang w:val="en-US"/>
        </w:rPr>
        <w:t xml:space="preserve"> (gender</w:t>
      </w:r>
      <w:r w:rsidR="003F14AA" w:rsidRPr="00B42C0F">
        <w:rPr>
          <w:sz w:val="24"/>
          <w:szCs w:val="24"/>
          <w:lang w:val="en-US"/>
        </w:rPr>
        <w:t>, age</w:t>
      </w:r>
      <w:r w:rsidR="0098552D" w:rsidRPr="00B42C0F">
        <w:rPr>
          <w:sz w:val="24"/>
          <w:szCs w:val="24"/>
          <w:lang w:val="en-US"/>
        </w:rPr>
        <w:t>)</w:t>
      </w:r>
      <w:r w:rsidRPr="00B42C0F">
        <w:rPr>
          <w:sz w:val="24"/>
          <w:szCs w:val="24"/>
          <w:lang w:val="en-US"/>
        </w:rPr>
        <w:t xml:space="preserve">, occupation, </w:t>
      </w:r>
      <w:r w:rsidR="003F14AA" w:rsidRPr="00B42C0F">
        <w:rPr>
          <w:sz w:val="24"/>
          <w:szCs w:val="24"/>
          <w:lang w:val="en-US"/>
        </w:rPr>
        <w:t xml:space="preserve">risk factors (smoking, obesity, recent travel abroad &lt; 15 days), </w:t>
      </w:r>
      <w:r w:rsidRPr="00B42C0F">
        <w:rPr>
          <w:sz w:val="24"/>
          <w:szCs w:val="24"/>
          <w:lang w:val="en-US"/>
        </w:rPr>
        <w:t>comorbidities</w:t>
      </w:r>
      <w:r w:rsidR="0098552D" w:rsidRPr="00B42C0F">
        <w:rPr>
          <w:sz w:val="24"/>
          <w:szCs w:val="24"/>
          <w:lang w:val="en-US"/>
        </w:rPr>
        <w:t xml:space="preserve"> (diabetes, hypertension</w:t>
      </w:r>
      <w:r w:rsidRPr="00B42C0F">
        <w:rPr>
          <w:sz w:val="24"/>
          <w:szCs w:val="24"/>
          <w:lang w:val="en-US"/>
        </w:rPr>
        <w:t xml:space="preserve">, </w:t>
      </w:r>
      <w:r w:rsidR="0098552D" w:rsidRPr="00B42C0F">
        <w:rPr>
          <w:sz w:val="24"/>
          <w:szCs w:val="24"/>
          <w:lang w:val="en-US"/>
        </w:rPr>
        <w:t>cardiov</w:t>
      </w:r>
      <w:r w:rsidR="003F14AA" w:rsidRPr="00B42C0F">
        <w:rPr>
          <w:sz w:val="24"/>
          <w:szCs w:val="24"/>
          <w:lang w:val="en-US"/>
        </w:rPr>
        <w:t xml:space="preserve">ascular disease, chronic obstructive </w:t>
      </w:r>
      <w:r w:rsidR="0098552D" w:rsidRPr="00B42C0F">
        <w:rPr>
          <w:sz w:val="24"/>
          <w:szCs w:val="24"/>
          <w:lang w:val="en-US"/>
        </w:rPr>
        <w:t xml:space="preserve">pulmonary disease, </w:t>
      </w:r>
      <w:r w:rsidR="003F14AA" w:rsidRPr="00B42C0F">
        <w:rPr>
          <w:sz w:val="24"/>
          <w:szCs w:val="24"/>
          <w:lang w:val="en-US"/>
        </w:rPr>
        <w:lastRenderedPageBreak/>
        <w:t>cancer, previous episode of dengue, other),</w:t>
      </w:r>
      <w:r w:rsidR="0098552D" w:rsidRPr="00B42C0F">
        <w:rPr>
          <w:sz w:val="24"/>
          <w:szCs w:val="24"/>
          <w:lang w:val="en-US"/>
        </w:rPr>
        <w:t xml:space="preserve"> </w:t>
      </w:r>
      <w:r w:rsidRPr="00B42C0F">
        <w:rPr>
          <w:sz w:val="24"/>
          <w:szCs w:val="24"/>
          <w:lang w:val="en-US"/>
        </w:rPr>
        <w:t>intra-household and individual exposure to SARS-CoV-2, individual symptoms</w:t>
      </w:r>
      <w:r w:rsidR="003F14AA" w:rsidRPr="00B42C0F">
        <w:rPr>
          <w:sz w:val="24"/>
          <w:szCs w:val="24"/>
          <w:lang w:val="en-US"/>
        </w:rPr>
        <w:t xml:space="preserve"> (fever, cough, dyspnea/shortness of breath,</w:t>
      </w:r>
      <w:r w:rsidRPr="00B42C0F">
        <w:rPr>
          <w:sz w:val="24"/>
          <w:szCs w:val="24"/>
          <w:lang w:val="en-US"/>
        </w:rPr>
        <w:t xml:space="preserve"> </w:t>
      </w:r>
      <w:r w:rsidR="003F14AA" w:rsidRPr="00B42C0F">
        <w:rPr>
          <w:sz w:val="24"/>
          <w:szCs w:val="24"/>
          <w:lang w:val="en-US"/>
        </w:rPr>
        <w:t xml:space="preserve">body ache, diarrhea, nausea, </w:t>
      </w:r>
      <w:r w:rsidR="00BD0379" w:rsidRPr="00B42C0F">
        <w:rPr>
          <w:sz w:val="24"/>
          <w:szCs w:val="24"/>
          <w:lang w:val="en-US"/>
        </w:rPr>
        <w:t xml:space="preserve">vomiting, </w:t>
      </w:r>
      <w:r w:rsidR="003F14AA" w:rsidRPr="00B42C0F">
        <w:rPr>
          <w:sz w:val="24"/>
          <w:szCs w:val="24"/>
          <w:lang w:val="en-US"/>
        </w:rPr>
        <w:t xml:space="preserve">dyspepsia, </w:t>
      </w:r>
      <w:r w:rsidR="00BD0379" w:rsidRPr="00B42C0F">
        <w:rPr>
          <w:sz w:val="24"/>
          <w:szCs w:val="24"/>
          <w:lang w:val="en-US"/>
        </w:rPr>
        <w:t>eructation, abdominal pain</w:t>
      </w:r>
      <w:r w:rsidR="003F14AA" w:rsidRPr="00B42C0F">
        <w:rPr>
          <w:sz w:val="24"/>
          <w:szCs w:val="24"/>
          <w:lang w:val="en-US"/>
        </w:rPr>
        <w:t xml:space="preserve">, </w:t>
      </w:r>
      <w:proofErr w:type="spellStart"/>
      <w:r w:rsidR="003F14AA" w:rsidRPr="00B42C0F">
        <w:rPr>
          <w:sz w:val="24"/>
          <w:szCs w:val="24"/>
          <w:lang w:val="en-US"/>
        </w:rPr>
        <w:t>ageusia</w:t>
      </w:r>
      <w:proofErr w:type="spellEnd"/>
      <w:r w:rsidR="003F14AA" w:rsidRPr="00B42C0F">
        <w:rPr>
          <w:sz w:val="24"/>
          <w:szCs w:val="24"/>
          <w:lang w:val="en-US"/>
        </w:rPr>
        <w:t xml:space="preserve">, </w:t>
      </w:r>
      <w:proofErr w:type="spellStart"/>
      <w:r w:rsidR="003F14AA" w:rsidRPr="00B42C0F">
        <w:rPr>
          <w:sz w:val="24"/>
          <w:szCs w:val="24"/>
          <w:lang w:val="en-US"/>
        </w:rPr>
        <w:t>dysgeusia</w:t>
      </w:r>
      <w:proofErr w:type="spellEnd"/>
      <w:r w:rsidR="003F14AA" w:rsidRPr="00B42C0F">
        <w:rPr>
          <w:sz w:val="24"/>
          <w:szCs w:val="24"/>
          <w:lang w:val="en-US"/>
        </w:rPr>
        <w:t>/metallic taste, anosmia, fatigue, headache, retro-orbital pain</w:t>
      </w:r>
      <w:r w:rsidR="00BD0379" w:rsidRPr="00B42C0F">
        <w:rPr>
          <w:sz w:val="24"/>
          <w:szCs w:val="24"/>
          <w:lang w:val="en-US"/>
        </w:rPr>
        <w:t>, sore throat, runny nose, nasal congestion, sneezing</w:t>
      </w:r>
      <w:r w:rsidR="003F14AA" w:rsidRPr="00B42C0F">
        <w:rPr>
          <w:sz w:val="24"/>
          <w:szCs w:val="24"/>
          <w:lang w:val="en-US"/>
        </w:rPr>
        <w:t xml:space="preserve">) </w:t>
      </w:r>
      <w:r w:rsidRPr="00B42C0F">
        <w:rPr>
          <w:sz w:val="24"/>
          <w:szCs w:val="24"/>
          <w:lang w:val="en-US"/>
        </w:rPr>
        <w:t>and treatment</w:t>
      </w:r>
      <w:r w:rsidR="003F14AA" w:rsidRPr="00B42C0F">
        <w:rPr>
          <w:sz w:val="24"/>
          <w:szCs w:val="24"/>
          <w:lang w:val="en-US"/>
        </w:rPr>
        <w:t xml:space="preserve"> (antihypertensive drugs, hydroxychloroquine)</w:t>
      </w:r>
      <w:r w:rsidRPr="00B42C0F">
        <w:rPr>
          <w:sz w:val="24"/>
          <w:szCs w:val="24"/>
          <w:lang w:val="en-US"/>
        </w:rPr>
        <w:t xml:space="preserve">. </w:t>
      </w:r>
      <w:r w:rsidR="003F14AA" w:rsidRPr="00B42C0F">
        <w:rPr>
          <w:sz w:val="24"/>
          <w:szCs w:val="24"/>
          <w:lang w:val="en-US"/>
        </w:rPr>
        <w:t xml:space="preserve"> T</w:t>
      </w:r>
      <w:r w:rsidRPr="00B42C0F">
        <w:rPr>
          <w:sz w:val="24"/>
          <w:szCs w:val="24"/>
          <w:lang w:val="en-US"/>
        </w:rPr>
        <w:t>emperature, pulse rate, respiratory rate and oxygen saturation (SpO</w:t>
      </w:r>
      <w:r w:rsidRPr="00B42C0F">
        <w:rPr>
          <w:sz w:val="24"/>
          <w:szCs w:val="24"/>
          <w:vertAlign w:val="subscript"/>
          <w:lang w:val="en-US"/>
        </w:rPr>
        <w:t>2</w:t>
      </w:r>
      <w:r w:rsidRPr="00B42C0F">
        <w:rPr>
          <w:sz w:val="24"/>
          <w:szCs w:val="24"/>
          <w:lang w:val="en-US"/>
        </w:rPr>
        <w:t xml:space="preserve">) were measured upon the consultation, as well as the presence of cough and anxiety. </w:t>
      </w:r>
      <w:r w:rsidR="00BB23B5" w:rsidRPr="00B42C0F">
        <w:rPr>
          <w:sz w:val="24"/>
          <w:szCs w:val="24"/>
          <w:lang w:val="en-US"/>
        </w:rPr>
        <w:t>People reporting symptoms were physically examined by a resident and further by a senior infectious disease doctor, according to routine care procedures.</w:t>
      </w:r>
    </w:p>
    <w:p w:rsidR="003300A3" w:rsidRPr="00B42C0F" w:rsidRDefault="003300A3" w:rsidP="00033794">
      <w:pPr>
        <w:spacing w:after="0" w:line="480" w:lineRule="auto"/>
        <w:jc w:val="both"/>
        <w:rPr>
          <w:b/>
          <w:sz w:val="24"/>
          <w:szCs w:val="24"/>
          <w:lang w:val="en-US"/>
        </w:rPr>
      </w:pPr>
      <w:r w:rsidRPr="00B42C0F">
        <w:rPr>
          <w:b/>
          <w:sz w:val="24"/>
          <w:szCs w:val="24"/>
          <w:lang w:val="en-US"/>
        </w:rPr>
        <w:t>Diagnostic procedures</w:t>
      </w:r>
    </w:p>
    <w:p w:rsidR="003300A3" w:rsidRPr="00B42C0F" w:rsidRDefault="003300A3" w:rsidP="00033794">
      <w:pPr>
        <w:pStyle w:val="Commentaire"/>
        <w:spacing w:after="0" w:line="480" w:lineRule="auto"/>
        <w:jc w:val="both"/>
        <w:rPr>
          <w:sz w:val="24"/>
          <w:szCs w:val="24"/>
          <w:lang w:val="en-US"/>
        </w:rPr>
      </w:pPr>
      <w:r w:rsidRPr="00B42C0F">
        <w:rPr>
          <w:sz w:val="24"/>
          <w:szCs w:val="24"/>
          <w:lang w:val="en-US"/>
        </w:rPr>
        <w:t>All the attendees were screened for SARS-CoV-2 using a nasopharyngeal swab inserted and held in one nostril for about twenty seconds [</w:t>
      </w:r>
      <w:r w:rsidR="00FC3B2B" w:rsidRPr="00B42C0F">
        <w:rPr>
          <w:color w:val="0000FF"/>
          <w:sz w:val="24"/>
          <w:szCs w:val="24"/>
          <w:lang w:val="en-US"/>
        </w:rPr>
        <w:t>1</w:t>
      </w:r>
      <w:r w:rsidRPr="00B42C0F">
        <w:rPr>
          <w:sz w:val="24"/>
          <w:szCs w:val="24"/>
          <w:lang w:val="en-US"/>
        </w:rPr>
        <w:t xml:space="preserve">]. The sample was processed for a SARS-CoV-2 reverse transcription-polymerase chain reaction (RT-PCR) using a </w:t>
      </w:r>
      <w:proofErr w:type="spellStart"/>
      <w:r w:rsidR="00BD0379" w:rsidRPr="00B42C0F">
        <w:rPr>
          <w:sz w:val="24"/>
          <w:szCs w:val="24"/>
          <w:lang w:val="en-US"/>
        </w:rPr>
        <w:t>Microlab</w:t>
      </w:r>
      <w:proofErr w:type="spellEnd"/>
      <w:r w:rsidR="00BD0379" w:rsidRPr="00B42C0F">
        <w:rPr>
          <w:sz w:val="24"/>
          <w:szCs w:val="24"/>
          <w:lang w:val="en-US"/>
        </w:rPr>
        <w:t xml:space="preserve"> NIMBUS/</w:t>
      </w:r>
      <w:proofErr w:type="spellStart"/>
      <w:r w:rsidR="00BD0379" w:rsidRPr="00B42C0F">
        <w:rPr>
          <w:sz w:val="24"/>
          <w:szCs w:val="24"/>
          <w:lang w:val="en-US"/>
        </w:rPr>
        <w:t>STARlet</w:t>
      </w:r>
      <w:proofErr w:type="spellEnd"/>
      <w:r w:rsidR="00BD0379" w:rsidRPr="00B42C0F">
        <w:rPr>
          <w:sz w:val="24"/>
          <w:szCs w:val="24"/>
          <w:lang w:val="en-US"/>
        </w:rPr>
        <w:t xml:space="preserve"> IVD (</w:t>
      </w:r>
      <w:proofErr w:type="spellStart"/>
      <w:r w:rsidR="00BD0379" w:rsidRPr="00B42C0F">
        <w:rPr>
          <w:sz w:val="24"/>
          <w:szCs w:val="24"/>
          <w:lang w:val="en-US"/>
        </w:rPr>
        <w:t>Seegene</w:t>
      </w:r>
      <w:proofErr w:type="spellEnd"/>
      <w:r w:rsidR="00BD0379" w:rsidRPr="00B42C0F">
        <w:rPr>
          <w:sz w:val="24"/>
          <w:szCs w:val="24"/>
          <w:lang w:val="en-US"/>
        </w:rPr>
        <w:t xml:space="preserve">, Seoul, Republic of Korea) </w:t>
      </w:r>
      <w:r w:rsidRPr="00B42C0F">
        <w:rPr>
          <w:sz w:val="24"/>
          <w:szCs w:val="24"/>
          <w:lang w:val="en-US"/>
        </w:rPr>
        <w:t xml:space="preserve">or a </w:t>
      </w:r>
      <w:proofErr w:type="spellStart"/>
      <w:r w:rsidRPr="00B42C0F">
        <w:rPr>
          <w:sz w:val="24"/>
          <w:szCs w:val="24"/>
          <w:lang w:val="en-US"/>
        </w:rPr>
        <w:t>MagNa</w:t>
      </w:r>
      <w:proofErr w:type="spellEnd"/>
      <w:r w:rsidRPr="00B42C0F">
        <w:rPr>
          <w:sz w:val="24"/>
          <w:szCs w:val="24"/>
          <w:lang w:val="en-US"/>
        </w:rPr>
        <w:t xml:space="preserve"> Pure Compact® (Roche Life Science, </w:t>
      </w:r>
      <w:proofErr w:type="spellStart"/>
      <w:r w:rsidRPr="00B42C0F">
        <w:rPr>
          <w:sz w:val="24"/>
          <w:szCs w:val="24"/>
          <w:lang w:val="en-US"/>
        </w:rPr>
        <w:t>Penzberg</w:t>
      </w:r>
      <w:proofErr w:type="spellEnd"/>
      <w:r w:rsidRPr="00B42C0F">
        <w:rPr>
          <w:sz w:val="24"/>
          <w:szCs w:val="24"/>
          <w:lang w:val="en-US"/>
        </w:rPr>
        <w:t>, Germany) automaton for nucleic acid extraction.</w:t>
      </w:r>
      <w:r w:rsidR="00F40D17" w:rsidRPr="00B42C0F">
        <w:rPr>
          <w:sz w:val="24"/>
          <w:szCs w:val="24"/>
          <w:lang w:val="en-US"/>
        </w:rPr>
        <w:t xml:space="preserve"> </w:t>
      </w:r>
      <w:r w:rsidRPr="00B42C0F">
        <w:rPr>
          <w:sz w:val="24"/>
          <w:szCs w:val="24"/>
          <w:lang w:val="en-US"/>
        </w:rPr>
        <w:t xml:space="preserve">SARS-CoV-2 </w:t>
      </w:r>
      <w:r w:rsidR="00F40D17" w:rsidRPr="00B42C0F">
        <w:rPr>
          <w:sz w:val="24"/>
          <w:szCs w:val="24"/>
          <w:lang w:val="en-US"/>
        </w:rPr>
        <w:t xml:space="preserve">ribonucleic acid sequences </w:t>
      </w:r>
      <w:r w:rsidRPr="00B42C0F">
        <w:rPr>
          <w:sz w:val="24"/>
          <w:szCs w:val="24"/>
          <w:lang w:val="en-US"/>
        </w:rPr>
        <w:t xml:space="preserve">were identified using the </w:t>
      </w:r>
      <w:proofErr w:type="spellStart"/>
      <w:r w:rsidRPr="00B42C0F">
        <w:rPr>
          <w:sz w:val="24"/>
          <w:szCs w:val="24"/>
          <w:lang w:val="en-US"/>
        </w:rPr>
        <w:t>Allplex</w:t>
      </w:r>
      <w:proofErr w:type="spellEnd"/>
      <w:r w:rsidRPr="00B42C0F">
        <w:rPr>
          <w:sz w:val="24"/>
          <w:szCs w:val="24"/>
          <w:lang w:val="en-US"/>
        </w:rPr>
        <w:t xml:space="preserve"> 2019-nCov</w:t>
      </w:r>
      <w:r w:rsidRPr="00B42C0F">
        <w:rPr>
          <w:sz w:val="24"/>
          <w:szCs w:val="24"/>
          <w:vertAlign w:val="superscript"/>
          <w:lang w:val="en-US"/>
        </w:rPr>
        <w:t>TM</w:t>
      </w:r>
      <w:r w:rsidRPr="00B42C0F">
        <w:rPr>
          <w:sz w:val="24"/>
          <w:szCs w:val="24"/>
          <w:lang w:val="en-US"/>
        </w:rPr>
        <w:t xml:space="preserve"> assay (</w:t>
      </w:r>
      <w:proofErr w:type="spellStart"/>
      <w:r w:rsidRPr="00B42C0F">
        <w:rPr>
          <w:sz w:val="24"/>
          <w:szCs w:val="24"/>
          <w:lang w:val="en-US"/>
        </w:rPr>
        <w:t>Seegene</w:t>
      </w:r>
      <w:proofErr w:type="spellEnd"/>
      <w:r w:rsidRPr="00B42C0F">
        <w:rPr>
          <w:sz w:val="24"/>
          <w:szCs w:val="24"/>
          <w:lang w:val="en-US"/>
        </w:rPr>
        <w:t xml:space="preserve">, Seoul, Republic of Korea) or an in-house kit (CNR Pasteur), targeting N, </w:t>
      </w:r>
      <w:proofErr w:type="spellStart"/>
      <w:r w:rsidRPr="00B42C0F">
        <w:rPr>
          <w:sz w:val="24"/>
          <w:szCs w:val="24"/>
          <w:lang w:val="en-US"/>
        </w:rPr>
        <w:t>RdRP</w:t>
      </w:r>
      <w:proofErr w:type="spellEnd"/>
      <w:r w:rsidRPr="00B42C0F">
        <w:rPr>
          <w:sz w:val="24"/>
          <w:szCs w:val="24"/>
          <w:lang w:val="en-US"/>
        </w:rPr>
        <w:t xml:space="preserve"> and E genes, or N and IP2/IP4 targets of </w:t>
      </w:r>
      <w:proofErr w:type="spellStart"/>
      <w:r w:rsidRPr="00B42C0F">
        <w:rPr>
          <w:sz w:val="24"/>
          <w:szCs w:val="24"/>
          <w:lang w:val="en-US"/>
        </w:rPr>
        <w:t>RdRP</w:t>
      </w:r>
      <w:proofErr w:type="spellEnd"/>
      <w:r w:rsidRPr="00B42C0F">
        <w:rPr>
          <w:sz w:val="24"/>
          <w:szCs w:val="24"/>
          <w:lang w:val="en-US"/>
        </w:rPr>
        <w:t xml:space="preserve">, respectively. </w:t>
      </w:r>
      <w:r w:rsidR="00033794" w:rsidRPr="00B42C0F">
        <w:rPr>
          <w:sz w:val="24"/>
          <w:szCs w:val="24"/>
          <w:lang w:val="en-US"/>
        </w:rPr>
        <w:t>SARS-CoV-2 g</w:t>
      </w:r>
      <w:r w:rsidR="00F40D17" w:rsidRPr="00B42C0F">
        <w:rPr>
          <w:sz w:val="24"/>
          <w:szCs w:val="24"/>
          <w:lang w:val="en-US"/>
        </w:rPr>
        <w:t>enome sequences were amplified using a Bio-Rad CFX96® (</w:t>
      </w:r>
      <w:proofErr w:type="spellStart"/>
      <w:r w:rsidR="00F40D17" w:rsidRPr="00B42C0F">
        <w:rPr>
          <w:sz w:val="24"/>
          <w:szCs w:val="24"/>
          <w:lang w:val="en-US"/>
        </w:rPr>
        <w:t>BioRad</w:t>
      </w:r>
      <w:proofErr w:type="spellEnd"/>
      <w:r w:rsidR="00F40D17" w:rsidRPr="00B42C0F">
        <w:rPr>
          <w:sz w:val="24"/>
          <w:szCs w:val="24"/>
          <w:lang w:val="en-US"/>
        </w:rPr>
        <w:t xml:space="preserve">, Hercules, CA, USA) or a </w:t>
      </w:r>
      <w:proofErr w:type="spellStart"/>
      <w:r w:rsidR="00F40D17" w:rsidRPr="00B42C0F">
        <w:rPr>
          <w:sz w:val="24"/>
          <w:szCs w:val="24"/>
          <w:lang w:val="en-US"/>
        </w:rPr>
        <w:t>LightCycler</w:t>
      </w:r>
      <w:proofErr w:type="spellEnd"/>
      <w:r w:rsidR="00F40D17" w:rsidRPr="00B42C0F">
        <w:rPr>
          <w:sz w:val="24"/>
          <w:szCs w:val="24"/>
          <w:lang w:val="en-US"/>
        </w:rPr>
        <w:t xml:space="preserve"> 480</w:t>
      </w:r>
      <w:proofErr w:type="gramStart"/>
      <w:r w:rsidR="00F40D17" w:rsidRPr="00B42C0F">
        <w:rPr>
          <w:sz w:val="24"/>
          <w:szCs w:val="24"/>
          <w:lang w:val="en-US"/>
        </w:rPr>
        <w:t>®(</w:t>
      </w:r>
      <w:proofErr w:type="gramEnd"/>
      <w:r w:rsidR="00F40D17" w:rsidRPr="00B42C0F">
        <w:rPr>
          <w:sz w:val="24"/>
          <w:szCs w:val="24"/>
          <w:lang w:val="en-US"/>
        </w:rPr>
        <w:t xml:space="preserve">Roche Diagnostics, Basel, Switzerland) system. </w:t>
      </w:r>
      <w:r w:rsidRPr="00B42C0F">
        <w:rPr>
          <w:sz w:val="24"/>
          <w:szCs w:val="24"/>
          <w:lang w:val="en-US"/>
        </w:rPr>
        <w:t xml:space="preserve">In addition, each patient suspected of dengue was tested for NS1 antigen using an </w:t>
      </w:r>
      <w:proofErr w:type="spellStart"/>
      <w:r w:rsidRPr="00B42C0F">
        <w:rPr>
          <w:sz w:val="24"/>
          <w:szCs w:val="24"/>
          <w:lang w:val="en-US"/>
        </w:rPr>
        <w:t>OnSite</w:t>
      </w:r>
      <w:r w:rsidRPr="00B42C0F">
        <w:rPr>
          <w:sz w:val="24"/>
          <w:szCs w:val="24"/>
          <w:vertAlign w:val="superscript"/>
          <w:lang w:val="en-US"/>
        </w:rPr>
        <w:t>TM</w:t>
      </w:r>
      <w:proofErr w:type="spellEnd"/>
      <w:r w:rsidRPr="00B42C0F">
        <w:rPr>
          <w:sz w:val="24"/>
          <w:szCs w:val="24"/>
          <w:lang w:val="en-US"/>
        </w:rPr>
        <w:t xml:space="preserve"> Duo dengue Ag-IgG-IgM rapid diagnostic test (CTK Biotech, San Diego, CA, USA) and if negative further explored with </w:t>
      </w:r>
      <w:r w:rsidR="00033794" w:rsidRPr="00B42C0F">
        <w:rPr>
          <w:sz w:val="24"/>
          <w:szCs w:val="24"/>
          <w:lang w:val="en-US"/>
        </w:rPr>
        <w:t xml:space="preserve">a </w:t>
      </w:r>
      <w:r w:rsidR="00116E3F" w:rsidRPr="00B42C0F">
        <w:rPr>
          <w:sz w:val="24"/>
          <w:szCs w:val="24"/>
          <w:lang w:val="en-US"/>
        </w:rPr>
        <w:t>DENV</w:t>
      </w:r>
      <w:r w:rsidRPr="00B42C0F">
        <w:rPr>
          <w:sz w:val="24"/>
          <w:szCs w:val="24"/>
          <w:lang w:val="en-US"/>
        </w:rPr>
        <w:t xml:space="preserve"> RT-PCR </w:t>
      </w:r>
      <w:r w:rsidR="00033794" w:rsidRPr="00B42C0F">
        <w:rPr>
          <w:sz w:val="24"/>
          <w:szCs w:val="24"/>
          <w:lang w:val="en-US"/>
        </w:rPr>
        <w:t>(</w:t>
      </w:r>
      <w:proofErr w:type="spellStart"/>
      <w:r w:rsidR="00033794" w:rsidRPr="00B42C0F">
        <w:rPr>
          <w:sz w:val="24"/>
          <w:szCs w:val="24"/>
          <w:lang w:val="en-US"/>
        </w:rPr>
        <w:t>NucliSens</w:t>
      </w:r>
      <w:proofErr w:type="spellEnd"/>
      <w:r w:rsidR="00033794" w:rsidRPr="00B42C0F">
        <w:rPr>
          <w:sz w:val="24"/>
          <w:szCs w:val="24"/>
          <w:lang w:val="en-US"/>
        </w:rPr>
        <w:t xml:space="preserve"> </w:t>
      </w:r>
      <w:proofErr w:type="spellStart"/>
      <w:r w:rsidR="00033794" w:rsidRPr="00B42C0F">
        <w:rPr>
          <w:sz w:val="24"/>
          <w:szCs w:val="24"/>
          <w:lang w:val="en-US"/>
        </w:rPr>
        <w:t>easyMAG</w:t>
      </w:r>
      <w:proofErr w:type="spellEnd"/>
      <w:r w:rsidR="00033794" w:rsidRPr="00B42C0F">
        <w:rPr>
          <w:sz w:val="24"/>
          <w:szCs w:val="24"/>
          <w:lang w:val="en-US"/>
        </w:rPr>
        <w:t xml:space="preserve">, </w:t>
      </w:r>
      <w:proofErr w:type="spellStart"/>
      <w:r w:rsidR="00033794" w:rsidRPr="00B42C0F">
        <w:rPr>
          <w:sz w:val="24"/>
          <w:szCs w:val="24"/>
          <w:lang w:val="en-US"/>
        </w:rPr>
        <w:t>Biomerieux</w:t>
      </w:r>
      <w:proofErr w:type="spellEnd"/>
      <w:r w:rsidR="00033794" w:rsidRPr="00B42C0F">
        <w:rPr>
          <w:sz w:val="24"/>
          <w:szCs w:val="24"/>
          <w:lang w:val="en-US"/>
        </w:rPr>
        <w:t xml:space="preserve">®, France; </w:t>
      </w:r>
      <w:proofErr w:type="spellStart"/>
      <w:r w:rsidR="00033794" w:rsidRPr="00B42C0F">
        <w:rPr>
          <w:sz w:val="24"/>
          <w:szCs w:val="24"/>
          <w:lang w:val="en-US"/>
        </w:rPr>
        <w:t>LightCycler</w:t>
      </w:r>
      <w:proofErr w:type="spellEnd"/>
      <w:r w:rsidR="00033794" w:rsidRPr="00B42C0F">
        <w:rPr>
          <w:sz w:val="24"/>
          <w:szCs w:val="24"/>
          <w:lang w:val="en-US"/>
        </w:rPr>
        <w:t xml:space="preserve"> 480</w:t>
      </w:r>
      <w:r w:rsidR="00033794" w:rsidRPr="00B42C0F">
        <w:rPr>
          <w:color w:val="000000" w:themeColor="text1"/>
          <w:sz w:val="24"/>
          <w:szCs w:val="24"/>
          <w:lang w:val="en-US"/>
        </w:rPr>
        <w:t xml:space="preserve">®, Roche </w:t>
      </w:r>
      <w:proofErr w:type="spellStart"/>
      <w:r w:rsidR="00033794" w:rsidRPr="00B42C0F">
        <w:rPr>
          <w:sz w:val="24"/>
          <w:szCs w:val="24"/>
          <w:lang w:val="en-US"/>
        </w:rPr>
        <w:t>Dagnostics</w:t>
      </w:r>
      <w:proofErr w:type="spellEnd"/>
      <w:r w:rsidR="00033794" w:rsidRPr="00B42C0F">
        <w:rPr>
          <w:sz w:val="24"/>
          <w:szCs w:val="24"/>
          <w:lang w:val="en-US"/>
        </w:rPr>
        <w:t>, Basel, Switzerland)</w:t>
      </w:r>
      <w:r w:rsidR="00116E3F" w:rsidRPr="00B42C0F">
        <w:rPr>
          <w:sz w:val="24"/>
          <w:szCs w:val="24"/>
          <w:lang w:val="en-US"/>
        </w:rPr>
        <w:t xml:space="preserve"> </w:t>
      </w:r>
      <w:r w:rsidRPr="00B42C0F">
        <w:rPr>
          <w:sz w:val="24"/>
          <w:szCs w:val="24"/>
          <w:lang w:val="en-US"/>
        </w:rPr>
        <w:t>or a</w:t>
      </w:r>
      <w:r w:rsidR="00116E3F" w:rsidRPr="00B42C0F">
        <w:rPr>
          <w:sz w:val="24"/>
          <w:szCs w:val="24"/>
          <w:lang w:val="en-US"/>
        </w:rPr>
        <w:t xml:space="preserve"> </w:t>
      </w:r>
      <w:proofErr w:type="spellStart"/>
      <w:r w:rsidR="00116E3F" w:rsidRPr="00B42C0F">
        <w:rPr>
          <w:sz w:val="24"/>
          <w:szCs w:val="24"/>
          <w:lang w:val="en-US"/>
        </w:rPr>
        <w:t>Panbio</w:t>
      </w:r>
      <w:proofErr w:type="spellEnd"/>
      <w:r w:rsidR="00BB23B5" w:rsidRPr="00B42C0F">
        <w:rPr>
          <w:color w:val="000000" w:themeColor="text1"/>
          <w:sz w:val="24"/>
          <w:szCs w:val="24"/>
          <w:lang w:val="en-US"/>
        </w:rPr>
        <w:t>®</w:t>
      </w:r>
      <w:r w:rsidR="00116E3F" w:rsidRPr="00B42C0F">
        <w:rPr>
          <w:sz w:val="24"/>
          <w:szCs w:val="24"/>
          <w:lang w:val="en-US"/>
        </w:rPr>
        <w:t xml:space="preserve"> </w:t>
      </w:r>
      <w:r w:rsidR="00BB23B5" w:rsidRPr="00B42C0F">
        <w:rPr>
          <w:sz w:val="24"/>
          <w:szCs w:val="24"/>
          <w:lang w:val="en-US"/>
        </w:rPr>
        <w:t xml:space="preserve">dengue </w:t>
      </w:r>
      <w:r w:rsidR="00116E3F" w:rsidRPr="00B42C0F">
        <w:rPr>
          <w:sz w:val="24"/>
          <w:szCs w:val="24"/>
          <w:lang w:val="en-US"/>
        </w:rPr>
        <w:t>Duo (IgM/IgG)</w:t>
      </w:r>
      <w:r w:rsidR="00BB23B5" w:rsidRPr="00B42C0F">
        <w:rPr>
          <w:sz w:val="24"/>
          <w:szCs w:val="24"/>
          <w:lang w:val="en-US"/>
        </w:rPr>
        <w:t xml:space="preserve"> capture</w:t>
      </w:r>
      <w:r w:rsidR="00116E3F" w:rsidRPr="00B42C0F">
        <w:rPr>
          <w:sz w:val="24"/>
          <w:szCs w:val="24"/>
          <w:lang w:val="en-US"/>
        </w:rPr>
        <w:t xml:space="preserve"> ELISA</w:t>
      </w:r>
      <w:r w:rsidRPr="00B42C0F">
        <w:rPr>
          <w:sz w:val="24"/>
          <w:szCs w:val="24"/>
          <w:lang w:val="en-US"/>
        </w:rPr>
        <w:t xml:space="preserve"> </w:t>
      </w:r>
      <w:r w:rsidR="00BB23B5" w:rsidRPr="00B42C0F">
        <w:rPr>
          <w:sz w:val="24"/>
          <w:szCs w:val="24"/>
          <w:lang w:val="en-US"/>
        </w:rPr>
        <w:t>(Abbott, Chicago, IL, USA)</w:t>
      </w:r>
      <w:r w:rsidRPr="00B42C0F">
        <w:rPr>
          <w:sz w:val="24"/>
          <w:szCs w:val="24"/>
          <w:lang w:val="en-US"/>
        </w:rPr>
        <w:t xml:space="preserve"> according to the timing of </w:t>
      </w:r>
      <w:r w:rsidRPr="00B42C0F">
        <w:rPr>
          <w:sz w:val="24"/>
          <w:szCs w:val="24"/>
          <w:lang w:val="en-US"/>
        </w:rPr>
        <w:lastRenderedPageBreak/>
        <w:t>symptoms. People without symptoms were excluded from the study. Patients requiring hospitalization were transferred promptly from the UDACS to the COVID-19 units.</w:t>
      </w:r>
    </w:p>
    <w:p w:rsidR="003300A3" w:rsidRPr="00B42C0F" w:rsidRDefault="003300A3" w:rsidP="003300A3">
      <w:pPr>
        <w:spacing w:after="0" w:line="480" w:lineRule="auto"/>
        <w:jc w:val="both"/>
        <w:rPr>
          <w:b/>
          <w:sz w:val="24"/>
          <w:szCs w:val="24"/>
          <w:lang w:val="en-US"/>
        </w:rPr>
      </w:pPr>
      <w:r w:rsidRPr="00B42C0F">
        <w:rPr>
          <w:b/>
          <w:sz w:val="24"/>
          <w:szCs w:val="24"/>
          <w:lang w:val="en-US"/>
        </w:rPr>
        <w:t>Statistical analysis</w:t>
      </w:r>
    </w:p>
    <w:p w:rsidR="008636C4" w:rsidRPr="00B42C0F" w:rsidRDefault="003300A3" w:rsidP="00BD0379">
      <w:pPr>
        <w:spacing w:after="0" w:line="480" w:lineRule="auto"/>
        <w:jc w:val="both"/>
        <w:rPr>
          <w:sz w:val="24"/>
          <w:szCs w:val="24"/>
          <w:lang w:val="en-US"/>
        </w:rPr>
      </w:pPr>
      <w:r w:rsidRPr="00B42C0F">
        <w:rPr>
          <w:sz w:val="24"/>
          <w:szCs w:val="24"/>
          <w:lang w:val="en-US"/>
        </w:rPr>
        <w:t xml:space="preserve">Given the research purpose, co-infections </w:t>
      </w:r>
      <w:r w:rsidR="00064E01" w:rsidRPr="00B42C0F">
        <w:rPr>
          <w:sz w:val="24"/>
          <w:szCs w:val="24"/>
          <w:lang w:val="en-US"/>
        </w:rPr>
        <w:t xml:space="preserve">at clinical presentation </w:t>
      </w:r>
      <w:r w:rsidRPr="00B42C0F">
        <w:rPr>
          <w:sz w:val="24"/>
          <w:szCs w:val="24"/>
          <w:lang w:val="en-US"/>
        </w:rPr>
        <w:t xml:space="preserve">were excluded from the analysis. Proportions between non COVID-19 and non-dengue other febrile illnesses (OFIs), COVID-19 and dengue subjects were compared using Chi square or Fisher exact tests, as appropriate. </w:t>
      </w:r>
    </w:p>
    <w:p w:rsidR="009C5E85" w:rsidRPr="00B42C0F" w:rsidRDefault="003300A3" w:rsidP="008636C4">
      <w:pPr>
        <w:spacing w:after="0" w:line="480" w:lineRule="auto"/>
        <w:ind w:firstLine="567"/>
        <w:jc w:val="both"/>
        <w:rPr>
          <w:sz w:val="24"/>
          <w:szCs w:val="24"/>
          <w:lang w:val="en-US"/>
        </w:rPr>
      </w:pPr>
      <w:proofErr w:type="spellStart"/>
      <w:r w:rsidRPr="00B42C0F">
        <w:rPr>
          <w:sz w:val="24"/>
          <w:szCs w:val="24"/>
          <w:lang w:val="en-US"/>
        </w:rPr>
        <w:t>Univariable</w:t>
      </w:r>
      <w:proofErr w:type="spellEnd"/>
      <w:r w:rsidRPr="00B42C0F">
        <w:rPr>
          <w:sz w:val="24"/>
          <w:szCs w:val="24"/>
          <w:lang w:val="en-US"/>
        </w:rPr>
        <w:t xml:space="preserve"> and multivariable multinomial logistic regression models were fitted within Stata14® (College Station, Texas, USA) to identify independent predictors of COVID-19 and dengue, taking OFIs as controls. </w:t>
      </w:r>
      <w:r w:rsidR="004E759B" w:rsidRPr="00B42C0F">
        <w:rPr>
          <w:sz w:val="24"/>
          <w:szCs w:val="24"/>
          <w:lang w:val="en-US"/>
        </w:rPr>
        <w:t xml:space="preserve">At the first step, we fitted a full multinomial logistic regression model with all significant variables identified by </w:t>
      </w:r>
      <w:proofErr w:type="spellStart"/>
      <w:r w:rsidR="004E759B" w:rsidRPr="00B42C0F">
        <w:rPr>
          <w:sz w:val="24"/>
          <w:szCs w:val="24"/>
          <w:lang w:val="en-US"/>
        </w:rPr>
        <w:t>univariable</w:t>
      </w:r>
      <w:proofErr w:type="spellEnd"/>
      <w:r w:rsidR="004E759B" w:rsidRPr="00B42C0F">
        <w:rPr>
          <w:sz w:val="24"/>
          <w:szCs w:val="24"/>
          <w:lang w:val="en-US"/>
        </w:rPr>
        <w:t xml:space="preserve"> analysis. From these covariates, we used a backward stepwise selection procedure to drop out non-significant variables (output if P value &gt; 0.05). </w:t>
      </w:r>
      <w:r w:rsidR="00FC3B2B" w:rsidRPr="00B42C0F">
        <w:rPr>
          <w:sz w:val="24"/>
          <w:szCs w:val="24"/>
          <w:lang w:val="en-US"/>
        </w:rPr>
        <w:t xml:space="preserve">At the second step, we built a minimal multinomial logistic regression model with all significant covariates from the precedent model plus age. </w:t>
      </w:r>
    </w:p>
    <w:p w:rsidR="00BE52B8" w:rsidRPr="00B42C0F" w:rsidRDefault="00FC3B2B" w:rsidP="008636C4">
      <w:pPr>
        <w:spacing w:after="0" w:line="480" w:lineRule="auto"/>
        <w:ind w:firstLine="567"/>
        <w:jc w:val="both"/>
        <w:rPr>
          <w:sz w:val="24"/>
          <w:szCs w:val="24"/>
          <w:lang w:val="en-US"/>
        </w:rPr>
      </w:pPr>
      <w:r w:rsidRPr="00B42C0F">
        <w:rPr>
          <w:sz w:val="24"/>
          <w:szCs w:val="24"/>
          <w:lang w:val="en-US"/>
        </w:rPr>
        <w:t>We next performed w</w:t>
      </w:r>
      <w:r w:rsidR="00BB23B5" w:rsidRPr="00B42C0F">
        <w:rPr>
          <w:sz w:val="24"/>
          <w:szCs w:val="24"/>
          <w:lang w:val="en-US"/>
        </w:rPr>
        <w:t xml:space="preserve">eighed analyses on </w:t>
      </w:r>
      <w:r w:rsidR="008636C4" w:rsidRPr="00B42C0F">
        <w:rPr>
          <w:sz w:val="24"/>
          <w:szCs w:val="24"/>
          <w:lang w:val="en-US"/>
        </w:rPr>
        <w:t xml:space="preserve">the overall </w:t>
      </w:r>
      <w:r w:rsidR="00BB23B5" w:rsidRPr="00B42C0F">
        <w:rPr>
          <w:sz w:val="24"/>
          <w:szCs w:val="24"/>
          <w:lang w:val="en-US"/>
        </w:rPr>
        <w:t xml:space="preserve">inverse probability of hospitalization </w:t>
      </w:r>
      <w:r w:rsidR="008636C4" w:rsidRPr="00B42C0F">
        <w:rPr>
          <w:sz w:val="24"/>
          <w:szCs w:val="24"/>
          <w:lang w:val="en-US"/>
        </w:rPr>
        <w:t>to assess the potential for selection bias. Briefly, we applied</w:t>
      </w:r>
      <w:r w:rsidR="00BE52B8" w:rsidRPr="00B42C0F">
        <w:rPr>
          <w:sz w:val="24"/>
          <w:szCs w:val="24"/>
          <w:lang w:val="en-US"/>
        </w:rPr>
        <w:t xml:space="preserve"> in logistic regression models</w:t>
      </w:r>
      <w:r w:rsidR="008636C4" w:rsidRPr="00B42C0F">
        <w:rPr>
          <w:sz w:val="24"/>
          <w:szCs w:val="24"/>
          <w:lang w:val="en-US"/>
        </w:rPr>
        <w:t xml:space="preserve"> the hospitalization rates observed for confirmed COVID-19 and dengue cases over the study period, the actual rate (1.8%) or a probability 16% for OFIs</w:t>
      </w:r>
      <w:r w:rsidR="00BE52B8" w:rsidRPr="00B42C0F">
        <w:rPr>
          <w:sz w:val="24"/>
          <w:szCs w:val="24"/>
          <w:lang w:val="en-US"/>
        </w:rPr>
        <w:t xml:space="preserve"> using the </w:t>
      </w:r>
      <w:proofErr w:type="spellStart"/>
      <w:r w:rsidR="00BE52B8" w:rsidRPr="00B42C0F">
        <w:rPr>
          <w:i/>
          <w:sz w:val="24"/>
          <w:szCs w:val="24"/>
          <w:lang w:val="en-US"/>
        </w:rPr>
        <w:t>svy</w:t>
      </w:r>
      <w:proofErr w:type="spellEnd"/>
      <w:r w:rsidR="00BE52B8" w:rsidRPr="00B42C0F">
        <w:rPr>
          <w:i/>
          <w:sz w:val="24"/>
          <w:szCs w:val="24"/>
          <w:lang w:val="en-US"/>
        </w:rPr>
        <w:t xml:space="preserve"> </w:t>
      </w:r>
      <w:r w:rsidR="00BE52B8" w:rsidRPr="00B42C0F">
        <w:rPr>
          <w:sz w:val="24"/>
          <w:szCs w:val="24"/>
          <w:lang w:val="en-US"/>
        </w:rPr>
        <w:t>function in Stata</w:t>
      </w:r>
      <w:r w:rsidR="008636C4" w:rsidRPr="00B42C0F">
        <w:rPr>
          <w:sz w:val="24"/>
          <w:szCs w:val="24"/>
          <w:lang w:val="en-US"/>
        </w:rPr>
        <w:t xml:space="preserve">. </w:t>
      </w:r>
    </w:p>
    <w:p w:rsidR="00BE52B8" w:rsidRPr="00B42C0F" w:rsidRDefault="008636C4" w:rsidP="008636C4">
      <w:pPr>
        <w:spacing w:after="0" w:line="480" w:lineRule="auto"/>
        <w:ind w:firstLine="567"/>
        <w:jc w:val="both"/>
        <w:rPr>
          <w:sz w:val="24"/>
          <w:szCs w:val="24"/>
          <w:lang w:val="en-US"/>
        </w:rPr>
      </w:pPr>
      <w:r w:rsidRPr="00B42C0F">
        <w:rPr>
          <w:sz w:val="24"/>
          <w:szCs w:val="24"/>
          <w:lang w:val="en-US"/>
        </w:rPr>
        <w:t>To limit the potential for misclassification bias in the differential diagnosis between COVID-19 and dengue</w:t>
      </w:r>
      <w:r w:rsidR="00FC3B2B" w:rsidRPr="00B42C0F">
        <w:rPr>
          <w:sz w:val="24"/>
          <w:szCs w:val="24"/>
          <w:lang w:val="en-US"/>
        </w:rPr>
        <w:t xml:space="preserve"> due to the overlapping symptoms between COVID-19 and OFIs</w:t>
      </w:r>
      <w:r w:rsidRPr="00B42C0F">
        <w:rPr>
          <w:sz w:val="24"/>
          <w:szCs w:val="24"/>
          <w:lang w:val="en-US"/>
        </w:rPr>
        <w:t xml:space="preserve">, we </w:t>
      </w:r>
      <w:r w:rsidR="00FC3B2B" w:rsidRPr="00B42C0F">
        <w:rPr>
          <w:sz w:val="24"/>
          <w:szCs w:val="24"/>
          <w:lang w:val="en-US"/>
        </w:rPr>
        <w:t xml:space="preserve">also </w:t>
      </w:r>
      <w:r w:rsidRPr="00B42C0F">
        <w:rPr>
          <w:sz w:val="24"/>
          <w:szCs w:val="24"/>
          <w:lang w:val="en-US"/>
        </w:rPr>
        <w:t>performed a sensitivity analysis restrict</w:t>
      </w:r>
      <w:r w:rsidR="00FC3B2B" w:rsidRPr="00B42C0F">
        <w:rPr>
          <w:sz w:val="24"/>
          <w:szCs w:val="24"/>
          <w:lang w:val="en-US"/>
        </w:rPr>
        <w:t>ed</w:t>
      </w:r>
      <w:r w:rsidRPr="00B42C0F">
        <w:rPr>
          <w:sz w:val="24"/>
          <w:szCs w:val="24"/>
          <w:lang w:val="en-US"/>
        </w:rPr>
        <w:t xml:space="preserve"> to confirmed COVID-19 and dengue cases </w:t>
      </w:r>
      <w:r w:rsidRPr="00B42C0F">
        <w:rPr>
          <w:i/>
          <w:sz w:val="24"/>
          <w:szCs w:val="24"/>
          <w:lang w:val="en-US"/>
        </w:rPr>
        <w:t>(i.e.</w:t>
      </w:r>
      <w:r w:rsidRPr="00B42C0F">
        <w:rPr>
          <w:sz w:val="24"/>
          <w:szCs w:val="24"/>
          <w:lang w:val="en-US"/>
        </w:rPr>
        <w:t xml:space="preserve">, excluding OFIs). </w:t>
      </w:r>
    </w:p>
    <w:p w:rsidR="00FC3B2B" w:rsidRPr="00B42C0F" w:rsidRDefault="00FC3B2B" w:rsidP="00FC3B2B">
      <w:pPr>
        <w:spacing w:after="0" w:line="480" w:lineRule="auto"/>
        <w:ind w:firstLine="567"/>
        <w:jc w:val="both"/>
        <w:rPr>
          <w:sz w:val="24"/>
          <w:szCs w:val="24"/>
          <w:lang w:val="en-US"/>
        </w:rPr>
      </w:pPr>
      <w:r w:rsidRPr="00B42C0F">
        <w:rPr>
          <w:sz w:val="24"/>
          <w:szCs w:val="24"/>
          <w:lang w:val="en-US"/>
        </w:rPr>
        <w:lastRenderedPageBreak/>
        <w:t>Crude and adjusted Odds ratios (OR) and 95% Confidence Intervals (95%CI) were assessed using the binomial and Cornfield methods, respectively. All interaction terms between the variables were tested. The likelihood of the models was tested using the Bayesian Information (BIC) criterion</w:t>
      </w:r>
      <w:r w:rsidR="009C5E85" w:rsidRPr="00B42C0F">
        <w:rPr>
          <w:sz w:val="24"/>
          <w:szCs w:val="24"/>
          <w:lang w:val="en-US"/>
        </w:rPr>
        <w:t xml:space="preserve"> using the </w:t>
      </w:r>
      <w:proofErr w:type="spellStart"/>
      <w:r w:rsidR="009C5E85" w:rsidRPr="00B42C0F">
        <w:rPr>
          <w:i/>
          <w:sz w:val="24"/>
          <w:szCs w:val="24"/>
          <w:lang w:val="en-US"/>
        </w:rPr>
        <w:t>fitstat</w:t>
      </w:r>
      <w:proofErr w:type="spellEnd"/>
      <w:r w:rsidR="009C5E85" w:rsidRPr="00B42C0F">
        <w:rPr>
          <w:sz w:val="24"/>
          <w:szCs w:val="24"/>
          <w:lang w:val="en-US"/>
        </w:rPr>
        <w:t xml:space="preserve"> module [</w:t>
      </w:r>
      <w:r w:rsidR="009C5E85" w:rsidRPr="00B42C0F">
        <w:rPr>
          <w:color w:val="0000FF"/>
          <w:sz w:val="24"/>
          <w:szCs w:val="24"/>
          <w:lang w:val="en-US"/>
        </w:rPr>
        <w:t>2</w:t>
      </w:r>
      <w:r w:rsidR="009C5E85" w:rsidRPr="00B42C0F">
        <w:rPr>
          <w:sz w:val="24"/>
          <w:szCs w:val="24"/>
          <w:lang w:val="en-US"/>
        </w:rPr>
        <w:t>]</w:t>
      </w:r>
      <w:r w:rsidRPr="00B42C0F">
        <w:rPr>
          <w:sz w:val="24"/>
          <w:szCs w:val="24"/>
          <w:lang w:val="en-US"/>
        </w:rPr>
        <w:t xml:space="preserve">. The adequacy of the models was tested using the modified Hosmer and </w:t>
      </w:r>
      <w:proofErr w:type="spellStart"/>
      <w:r w:rsidRPr="00B42C0F">
        <w:rPr>
          <w:sz w:val="24"/>
          <w:szCs w:val="24"/>
          <w:lang w:val="en-US"/>
        </w:rPr>
        <w:t>Lemeshow</w:t>
      </w:r>
      <w:proofErr w:type="spellEnd"/>
      <w:r w:rsidRPr="00B42C0F">
        <w:rPr>
          <w:sz w:val="24"/>
          <w:szCs w:val="24"/>
          <w:lang w:val="en-US"/>
        </w:rPr>
        <w:t xml:space="preserve"> goodness of fit test for multinomial regression using the </w:t>
      </w:r>
      <w:proofErr w:type="spellStart"/>
      <w:r w:rsidRPr="00B42C0F">
        <w:rPr>
          <w:i/>
          <w:sz w:val="24"/>
          <w:szCs w:val="24"/>
          <w:lang w:val="en-US"/>
        </w:rPr>
        <w:t>mlogitgof</w:t>
      </w:r>
      <w:proofErr w:type="spellEnd"/>
      <w:r w:rsidRPr="00B42C0F">
        <w:rPr>
          <w:sz w:val="24"/>
          <w:szCs w:val="24"/>
          <w:lang w:val="en-US"/>
        </w:rPr>
        <w:t xml:space="preserve"> </w:t>
      </w:r>
      <w:r w:rsidR="009C5E85" w:rsidRPr="00B42C0F">
        <w:rPr>
          <w:sz w:val="24"/>
          <w:szCs w:val="24"/>
          <w:lang w:val="en-US"/>
        </w:rPr>
        <w:t>command [</w:t>
      </w:r>
      <w:r w:rsidR="009C5E85" w:rsidRPr="00B42C0F">
        <w:rPr>
          <w:color w:val="0000FF"/>
          <w:sz w:val="24"/>
          <w:szCs w:val="24"/>
          <w:lang w:val="en-US"/>
        </w:rPr>
        <w:t>3</w:t>
      </w:r>
      <w:r w:rsidR="009C5E85" w:rsidRPr="00B42C0F">
        <w:rPr>
          <w:sz w:val="24"/>
          <w:szCs w:val="24"/>
          <w:lang w:val="en-US"/>
        </w:rPr>
        <w:t>]</w:t>
      </w:r>
      <w:r w:rsidRPr="00B42C0F">
        <w:rPr>
          <w:sz w:val="24"/>
          <w:szCs w:val="24"/>
          <w:lang w:val="en-US"/>
        </w:rPr>
        <w:t>. The discriminatory performance of the models for the diagnosis of COVID-19 and dengue was tested using the areas under the receiver operating characteristics (ROC) curves.</w:t>
      </w:r>
    </w:p>
    <w:p w:rsidR="00BB23B5" w:rsidRPr="00B42C0F" w:rsidRDefault="003300A3" w:rsidP="008636C4">
      <w:pPr>
        <w:spacing w:after="0" w:line="480" w:lineRule="auto"/>
        <w:ind w:firstLine="567"/>
        <w:jc w:val="both"/>
        <w:rPr>
          <w:sz w:val="24"/>
          <w:szCs w:val="24"/>
          <w:lang w:val="en-US"/>
        </w:rPr>
      </w:pPr>
      <w:r w:rsidRPr="00B42C0F">
        <w:rPr>
          <w:sz w:val="24"/>
          <w:szCs w:val="24"/>
          <w:lang w:val="en-US"/>
        </w:rPr>
        <w:t xml:space="preserve">For all these analyses, observations with missing data were ruled out and a </w:t>
      </w:r>
      <w:r w:rsidRPr="00B42C0F">
        <w:rPr>
          <w:i/>
          <w:sz w:val="24"/>
          <w:szCs w:val="24"/>
          <w:lang w:val="en-US"/>
        </w:rPr>
        <w:t>P</w:t>
      </w:r>
      <w:r w:rsidRPr="00B42C0F">
        <w:rPr>
          <w:sz w:val="24"/>
          <w:szCs w:val="24"/>
          <w:lang w:val="en-US"/>
        </w:rPr>
        <w:t xml:space="preserve">-value less than 0.05 </w:t>
      </w:r>
      <w:proofErr w:type="gramStart"/>
      <w:r w:rsidRPr="00B42C0F">
        <w:rPr>
          <w:sz w:val="24"/>
          <w:szCs w:val="24"/>
          <w:lang w:val="en-US"/>
        </w:rPr>
        <w:t>was</w:t>
      </w:r>
      <w:proofErr w:type="gramEnd"/>
      <w:r w:rsidRPr="00B42C0F">
        <w:rPr>
          <w:sz w:val="24"/>
          <w:szCs w:val="24"/>
          <w:lang w:val="en-US"/>
        </w:rPr>
        <w:t xml:space="preserve"> considered as statistically significant.</w:t>
      </w:r>
    </w:p>
    <w:p w:rsidR="00B42C0F" w:rsidRDefault="00B42C0F" w:rsidP="00197617">
      <w:pPr>
        <w:spacing w:before="120" w:after="0" w:line="480" w:lineRule="auto"/>
        <w:jc w:val="both"/>
        <w:rPr>
          <w:rFonts w:ascii="Calibri Light" w:hAnsi="Calibri Light"/>
          <w:b/>
          <w:sz w:val="24"/>
          <w:szCs w:val="24"/>
          <w:lang w:val="en-US"/>
        </w:rPr>
      </w:pPr>
    </w:p>
    <w:p w:rsidR="00DC1B35" w:rsidRPr="00B42C0F" w:rsidRDefault="00F40D17" w:rsidP="00FE4A1A">
      <w:pPr>
        <w:spacing w:after="0" w:line="480" w:lineRule="auto"/>
        <w:jc w:val="both"/>
        <w:rPr>
          <w:rFonts w:ascii="Calibri Light" w:hAnsi="Calibri Light"/>
          <w:b/>
          <w:sz w:val="24"/>
          <w:szCs w:val="24"/>
          <w:lang w:val="en-US"/>
        </w:rPr>
      </w:pPr>
      <w:r w:rsidRPr="00B42C0F">
        <w:rPr>
          <w:rFonts w:ascii="Calibri Light" w:hAnsi="Calibri Light"/>
          <w:b/>
          <w:sz w:val="24"/>
          <w:szCs w:val="24"/>
          <w:lang w:val="en-US"/>
        </w:rPr>
        <w:t>References</w:t>
      </w:r>
    </w:p>
    <w:p w:rsidR="00420CBB" w:rsidRPr="00B42C0F" w:rsidRDefault="00BD0379" w:rsidP="00FE4A1A">
      <w:pPr>
        <w:pStyle w:val="Bibliographie"/>
        <w:numPr>
          <w:ilvl w:val="0"/>
          <w:numId w:val="2"/>
        </w:numPr>
        <w:tabs>
          <w:tab w:val="left" w:pos="384"/>
        </w:tabs>
        <w:spacing w:after="0" w:line="480" w:lineRule="auto"/>
        <w:ind w:left="425" w:hanging="425"/>
        <w:jc w:val="both"/>
        <w:rPr>
          <w:rFonts w:ascii="Calibri Light" w:hAnsi="Calibri Light" w:cstheme="majorHAnsi"/>
          <w:sz w:val="24"/>
          <w:szCs w:val="24"/>
          <w:lang w:val="en-US"/>
        </w:rPr>
      </w:pPr>
      <w:r w:rsidRPr="00B42C0F">
        <w:rPr>
          <w:rFonts w:ascii="Calibri Light" w:hAnsi="Calibri Light" w:cstheme="majorHAnsi"/>
          <w:sz w:val="24"/>
          <w:szCs w:val="24"/>
          <w:lang w:val="en-US"/>
        </w:rPr>
        <w:t xml:space="preserve">Marty FM, Chen K, </w:t>
      </w:r>
      <w:proofErr w:type="spellStart"/>
      <w:r w:rsidRPr="00B42C0F">
        <w:rPr>
          <w:rFonts w:ascii="Calibri Light" w:hAnsi="Calibri Light" w:cstheme="majorHAnsi"/>
          <w:sz w:val="24"/>
          <w:szCs w:val="24"/>
          <w:lang w:val="en-US"/>
        </w:rPr>
        <w:t>Verrill</w:t>
      </w:r>
      <w:proofErr w:type="spellEnd"/>
      <w:r w:rsidRPr="00B42C0F">
        <w:rPr>
          <w:rFonts w:ascii="Calibri Light" w:hAnsi="Calibri Light" w:cstheme="majorHAnsi"/>
          <w:sz w:val="24"/>
          <w:szCs w:val="24"/>
          <w:lang w:val="en-US"/>
        </w:rPr>
        <w:t xml:space="preserve"> KA. How to obtain a nasopharyngeal swab specimen. New </w:t>
      </w:r>
      <w:proofErr w:type="spellStart"/>
      <w:r w:rsidRPr="00B42C0F">
        <w:rPr>
          <w:rFonts w:ascii="Calibri Light" w:hAnsi="Calibri Light" w:cstheme="majorHAnsi"/>
          <w:sz w:val="24"/>
          <w:szCs w:val="24"/>
          <w:lang w:val="en-US"/>
        </w:rPr>
        <w:t>Engl</w:t>
      </w:r>
      <w:proofErr w:type="spellEnd"/>
      <w:r w:rsidRPr="00B42C0F">
        <w:rPr>
          <w:rFonts w:ascii="Calibri Light" w:hAnsi="Calibri Light" w:cstheme="majorHAnsi"/>
          <w:sz w:val="24"/>
          <w:szCs w:val="24"/>
          <w:lang w:val="en-US"/>
        </w:rPr>
        <w:t xml:space="preserve"> J Med 2020; 382; e76. </w:t>
      </w:r>
      <w:hyperlink r:id="rId8" w:history="1">
        <w:r w:rsidR="00420CBB" w:rsidRPr="00B42C0F">
          <w:rPr>
            <w:rStyle w:val="Lienhypertexte"/>
            <w:rFonts w:ascii="Calibri Light" w:hAnsi="Calibri Light" w:cstheme="majorHAnsi"/>
            <w:color w:val="auto"/>
            <w:sz w:val="24"/>
            <w:szCs w:val="24"/>
            <w:u w:val="none"/>
            <w:lang w:val="en-US"/>
          </w:rPr>
          <w:t>https://dx.doi/</w:t>
        </w:r>
      </w:hyperlink>
      <w:r w:rsidR="00420CBB" w:rsidRPr="00B42C0F">
        <w:rPr>
          <w:rFonts w:ascii="Calibri Light" w:hAnsi="Calibri Light" w:cstheme="majorHAnsi"/>
          <w:sz w:val="24"/>
          <w:szCs w:val="24"/>
          <w:lang w:val="en-US"/>
        </w:rPr>
        <w:t xml:space="preserve">10.1056/NEJMvcm2010260. </w:t>
      </w:r>
    </w:p>
    <w:p w:rsidR="009C5E85" w:rsidRPr="00B42C0F" w:rsidRDefault="009C5E85" w:rsidP="00FE4A1A">
      <w:pPr>
        <w:pStyle w:val="Bibliographie"/>
        <w:numPr>
          <w:ilvl w:val="0"/>
          <w:numId w:val="2"/>
        </w:numPr>
        <w:tabs>
          <w:tab w:val="left" w:pos="384"/>
        </w:tabs>
        <w:spacing w:after="0" w:line="480" w:lineRule="auto"/>
        <w:ind w:left="425" w:hanging="425"/>
        <w:jc w:val="both"/>
        <w:rPr>
          <w:rFonts w:ascii="Calibri Light" w:hAnsi="Calibri Light" w:cstheme="majorHAnsi"/>
          <w:sz w:val="24"/>
          <w:szCs w:val="24"/>
          <w:lang w:val="en-US"/>
        </w:rPr>
      </w:pPr>
      <w:r w:rsidRPr="00B42C0F">
        <w:rPr>
          <w:rFonts w:ascii="Calibri Light" w:hAnsi="Calibri Light"/>
          <w:sz w:val="24"/>
          <w:szCs w:val="24"/>
          <w:lang w:val="en-US"/>
        </w:rPr>
        <w:t xml:space="preserve">Long JS, </w:t>
      </w:r>
      <w:proofErr w:type="spellStart"/>
      <w:r w:rsidRPr="00B42C0F">
        <w:rPr>
          <w:rFonts w:ascii="Calibri Light" w:hAnsi="Calibri Light"/>
          <w:sz w:val="24"/>
          <w:szCs w:val="24"/>
          <w:lang w:val="en-US"/>
        </w:rPr>
        <w:t>Freese</w:t>
      </w:r>
      <w:proofErr w:type="spellEnd"/>
      <w:r w:rsidRPr="00B42C0F">
        <w:rPr>
          <w:rFonts w:ascii="Calibri Light" w:hAnsi="Calibri Light"/>
          <w:sz w:val="24"/>
          <w:szCs w:val="24"/>
          <w:lang w:val="en-US"/>
        </w:rPr>
        <w:t xml:space="preserve"> J. Scalar measures of fit for regression models. </w:t>
      </w:r>
      <w:r w:rsidR="00420CBB" w:rsidRPr="00B42C0F">
        <w:rPr>
          <w:rFonts w:ascii="Calibri Light" w:hAnsi="Calibri Light"/>
          <w:sz w:val="24"/>
          <w:szCs w:val="24"/>
          <w:lang w:val="en-US"/>
        </w:rPr>
        <w:t>Indiana University and University of Wisconsin-Madison press. 2000; 1-9 pp. https://fmwww.bc.edu/repec/bocode/fitstat.pdf</w:t>
      </w:r>
    </w:p>
    <w:p w:rsidR="00420CBB" w:rsidRPr="00B42C0F" w:rsidRDefault="00FC3B2B" w:rsidP="00FE4A1A">
      <w:pPr>
        <w:pStyle w:val="Bibliographie"/>
        <w:numPr>
          <w:ilvl w:val="0"/>
          <w:numId w:val="2"/>
        </w:numPr>
        <w:tabs>
          <w:tab w:val="left" w:pos="384"/>
        </w:tabs>
        <w:spacing w:after="0" w:line="480" w:lineRule="auto"/>
        <w:ind w:left="425" w:hanging="425"/>
        <w:jc w:val="both"/>
        <w:rPr>
          <w:rFonts w:ascii="Calibri Light" w:hAnsi="Calibri Light" w:cstheme="majorHAnsi"/>
          <w:sz w:val="24"/>
          <w:szCs w:val="24"/>
          <w:lang w:val="en-US"/>
        </w:rPr>
      </w:pPr>
      <w:proofErr w:type="spellStart"/>
      <w:r w:rsidRPr="00B42C0F">
        <w:rPr>
          <w:rFonts w:ascii="Calibri Light" w:hAnsi="Calibri Light" w:cstheme="majorHAnsi"/>
          <w:sz w:val="24"/>
          <w:szCs w:val="24"/>
          <w:lang w:val="en-US"/>
        </w:rPr>
        <w:t>Fagerland</w:t>
      </w:r>
      <w:proofErr w:type="spellEnd"/>
      <w:r w:rsidRPr="00B42C0F">
        <w:rPr>
          <w:rFonts w:ascii="Calibri Light" w:hAnsi="Calibri Light" w:cstheme="majorHAnsi"/>
          <w:sz w:val="24"/>
          <w:szCs w:val="24"/>
          <w:lang w:val="en-US"/>
        </w:rPr>
        <w:t xml:space="preserve"> MW, Hosmer DW. </w:t>
      </w:r>
      <w:r w:rsidR="009C5E85" w:rsidRPr="00B42C0F">
        <w:rPr>
          <w:rFonts w:ascii="Calibri Light" w:hAnsi="Calibri Light" w:cstheme="majorHAnsi"/>
          <w:sz w:val="24"/>
          <w:szCs w:val="24"/>
          <w:lang w:val="en-US"/>
        </w:rPr>
        <w:t>A generalized Hosmer-</w:t>
      </w:r>
      <w:proofErr w:type="spellStart"/>
      <w:r w:rsidR="009C5E85" w:rsidRPr="00B42C0F">
        <w:rPr>
          <w:rFonts w:ascii="Calibri Light" w:hAnsi="Calibri Light" w:cstheme="majorHAnsi"/>
          <w:sz w:val="24"/>
          <w:szCs w:val="24"/>
          <w:lang w:val="en-US"/>
        </w:rPr>
        <w:t>Lemeshow</w:t>
      </w:r>
      <w:proofErr w:type="spellEnd"/>
      <w:r w:rsidR="009C5E85" w:rsidRPr="00B42C0F">
        <w:rPr>
          <w:rFonts w:ascii="Calibri Light" w:hAnsi="Calibri Light" w:cstheme="majorHAnsi"/>
          <w:sz w:val="24"/>
          <w:szCs w:val="24"/>
          <w:lang w:val="en-US"/>
        </w:rPr>
        <w:t xml:space="preserve"> goodness-of-fit test for multinomial logistic regression models. </w:t>
      </w:r>
      <w:r w:rsidR="009C5E85" w:rsidRPr="00B42C0F">
        <w:rPr>
          <w:rFonts w:ascii="Calibri Light" w:hAnsi="Calibri Light" w:cstheme="majorHAnsi"/>
          <w:sz w:val="24"/>
          <w:szCs w:val="24"/>
        </w:rPr>
        <w:t>Stata Journal 2012; 12(3): 447-53.</w:t>
      </w:r>
      <w:r w:rsidR="00420CBB" w:rsidRPr="00B42C0F">
        <w:rPr>
          <w:rFonts w:ascii="Calibri Light" w:hAnsi="Calibri Light" w:cstheme="majorHAnsi"/>
          <w:sz w:val="24"/>
          <w:szCs w:val="24"/>
        </w:rPr>
        <w:t xml:space="preserve"> </w:t>
      </w:r>
      <w:hyperlink r:id="rId9" w:history="1">
        <w:r w:rsidR="00420CBB" w:rsidRPr="00B42C0F">
          <w:rPr>
            <w:rStyle w:val="Lienhypertexte"/>
            <w:rFonts w:ascii="Calibri Light" w:hAnsi="Calibri Light" w:cstheme="majorHAnsi"/>
            <w:color w:val="auto"/>
            <w:sz w:val="24"/>
            <w:szCs w:val="24"/>
            <w:u w:val="none"/>
            <w:lang w:val="en-US"/>
          </w:rPr>
          <w:t>https://dx.doi/</w:t>
        </w:r>
      </w:hyperlink>
      <w:r w:rsidR="00420CBB" w:rsidRPr="00B42C0F">
        <w:rPr>
          <w:rFonts w:ascii="Calibri Light" w:hAnsi="Calibri Light" w:cstheme="majorHAnsi"/>
          <w:sz w:val="24"/>
          <w:szCs w:val="24"/>
          <w:lang w:val="en-US"/>
        </w:rPr>
        <w:t xml:space="preserve">10.1177/1536867X1201200307. </w:t>
      </w:r>
    </w:p>
    <w:p w:rsidR="00FC3B2B" w:rsidRPr="00B42C0F" w:rsidRDefault="00FC3B2B" w:rsidP="00420CBB">
      <w:pPr>
        <w:pStyle w:val="Paragraphedeliste"/>
        <w:spacing w:after="0" w:line="360" w:lineRule="auto"/>
        <w:ind w:left="425"/>
        <w:rPr>
          <w:rFonts w:ascii="Calibri Light" w:hAnsi="Calibri Light"/>
          <w:sz w:val="24"/>
          <w:szCs w:val="24"/>
        </w:rPr>
      </w:pPr>
    </w:p>
    <w:sectPr w:rsidR="00FC3B2B" w:rsidRPr="00B42C0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3B5" w:rsidRDefault="00BB23B5" w:rsidP="00BB23B5">
      <w:pPr>
        <w:spacing w:after="0" w:line="240" w:lineRule="auto"/>
      </w:pPr>
      <w:r>
        <w:separator/>
      </w:r>
    </w:p>
  </w:endnote>
  <w:endnote w:type="continuationSeparator" w:id="0">
    <w:p w:rsidR="00BB23B5" w:rsidRDefault="00BB23B5" w:rsidP="00BB2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398100"/>
      <w:docPartObj>
        <w:docPartGallery w:val="Page Numbers (Bottom of Page)"/>
        <w:docPartUnique/>
      </w:docPartObj>
    </w:sdtPr>
    <w:sdtEndPr/>
    <w:sdtContent>
      <w:p w:rsidR="00BB23B5" w:rsidRDefault="00BB23B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A1A">
          <w:rPr>
            <w:noProof/>
          </w:rPr>
          <w:t>1</w:t>
        </w:r>
        <w:r>
          <w:fldChar w:fldCharType="end"/>
        </w:r>
      </w:p>
    </w:sdtContent>
  </w:sdt>
  <w:p w:rsidR="00BB23B5" w:rsidRDefault="00BB23B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3B5" w:rsidRDefault="00BB23B5" w:rsidP="00BB23B5">
      <w:pPr>
        <w:spacing w:after="0" w:line="240" w:lineRule="auto"/>
      </w:pPr>
      <w:r>
        <w:separator/>
      </w:r>
    </w:p>
  </w:footnote>
  <w:footnote w:type="continuationSeparator" w:id="0">
    <w:p w:rsidR="00BB23B5" w:rsidRDefault="00BB23B5" w:rsidP="00BB2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A09"/>
    <w:multiLevelType w:val="hybridMultilevel"/>
    <w:tmpl w:val="FDD0D1A4"/>
    <w:lvl w:ilvl="0" w:tplc="040C000F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021BA"/>
    <w:multiLevelType w:val="hybridMultilevel"/>
    <w:tmpl w:val="C1AEAFE0"/>
    <w:lvl w:ilvl="0" w:tplc="8BBC41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00C0019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0A3"/>
    <w:rsid w:val="00033794"/>
    <w:rsid w:val="00064E01"/>
    <w:rsid w:val="00116E3F"/>
    <w:rsid w:val="00197617"/>
    <w:rsid w:val="00293C0A"/>
    <w:rsid w:val="002D04C1"/>
    <w:rsid w:val="003056A5"/>
    <w:rsid w:val="003300A3"/>
    <w:rsid w:val="003F14AA"/>
    <w:rsid w:val="00420CBB"/>
    <w:rsid w:val="004510E9"/>
    <w:rsid w:val="004E759B"/>
    <w:rsid w:val="008636C4"/>
    <w:rsid w:val="0098552D"/>
    <w:rsid w:val="009C5E85"/>
    <w:rsid w:val="00B42C0F"/>
    <w:rsid w:val="00BB23B5"/>
    <w:rsid w:val="00BD0379"/>
    <w:rsid w:val="00BE52B8"/>
    <w:rsid w:val="00CB358E"/>
    <w:rsid w:val="00E02908"/>
    <w:rsid w:val="00F40D17"/>
    <w:rsid w:val="00FC3B2B"/>
    <w:rsid w:val="00FE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0A3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uiPriority w:val="99"/>
    <w:unhideWhenUsed/>
    <w:rsid w:val="003300A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300A3"/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BD037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D037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B2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23B5"/>
  </w:style>
  <w:style w:type="paragraph" w:styleId="Pieddepage">
    <w:name w:val="footer"/>
    <w:basedOn w:val="Normal"/>
    <w:link w:val="PieddepageCar"/>
    <w:uiPriority w:val="99"/>
    <w:unhideWhenUsed/>
    <w:rsid w:val="00BB2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23B5"/>
  </w:style>
  <w:style w:type="paragraph" w:styleId="Bibliographie">
    <w:name w:val="Bibliography"/>
    <w:basedOn w:val="Normal"/>
    <w:next w:val="Normal"/>
    <w:uiPriority w:val="37"/>
    <w:unhideWhenUsed/>
    <w:rsid w:val="00420C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0A3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uiPriority w:val="99"/>
    <w:unhideWhenUsed/>
    <w:rsid w:val="003300A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300A3"/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BD037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D037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B2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23B5"/>
  </w:style>
  <w:style w:type="paragraph" w:styleId="Pieddepage">
    <w:name w:val="footer"/>
    <w:basedOn w:val="Normal"/>
    <w:link w:val="PieddepageCar"/>
    <w:uiPriority w:val="99"/>
    <w:unhideWhenUsed/>
    <w:rsid w:val="00BB2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23B5"/>
  </w:style>
  <w:style w:type="paragraph" w:styleId="Bibliographie">
    <w:name w:val="Bibliography"/>
    <w:basedOn w:val="Normal"/>
    <w:next w:val="Normal"/>
    <w:uiPriority w:val="37"/>
    <w:unhideWhenUsed/>
    <w:rsid w:val="00420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x.do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x.doi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1069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</Company>
  <LinksUpToDate>false</LinksUpToDate>
  <CharactersWithSpaces>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GERARDIN</dc:creator>
  <cp:lastModifiedBy>PATRICK GERARDIN</cp:lastModifiedBy>
  <cp:revision>3</cp:revision>
  <dcterms:created xsi:type="dcterms:W3CDTF">2020-10-20T07:39:00Z</dcterms:created>
  <dcterms:modified xsi:type="dcterms:W3CDTF">2020-10-20T10:42:00Z</dcterms:modified>
</cp:coreProperties>
</file>