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B5D068" w14:textId="77777777" w:rsidR="008F7144" w:rsidRPr="00741699" w:rsidRDefault="008F7144" w:rsidP="008F7144">
      <w:pPr>
        <w:pStyle w:val="Heading2"/>
        <w:spacing w:before="720" w:after="120"/>
      </w:pPr>
      <w:r>
        <w:t>Supplementary Tables and Figures</w:t>
      </w:r>
    </w:p>
    <w:p w14:paraId="5CE2614A" w14:textId="23999E35" w:rsidR="00D12846" w:rsidRPr="00C83E65" w:rsidRDefault="009F36C9" w:rsidP="00D12846">
      <w:pPr>
        <w:spacing w:before="240" w:after="240"/>
        <w:rPr>
          <w:sz w:val="20"/>
          <w:szCs w:val="20"/>
        </w:rPr>
      </w:pPr>
      <w:r>
        <w:rPr>
          <w:rFonts w:eastAsia="Arial" w:cs="Arial"/>
          <w:b/>
          <w:bCs/>
          <w:noProof/>
          <w:sz w:val="20"/>
          <w:szCs w:val="20"/>
        </w:rPr>
        <w:drawing>
          <wp:inline distT="0" distB="0" distL="0" distR="0" wp14:anchorId="41A4E5F8" wp14:editId="6F826A59">
            <wp:extent cx="5726824" cy="3266831"/>
            <wp:effectExtent l="0" t="0" r="127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59673"/>
                    <a:stretch/>
                  </pic:blipFill>
                  <pic:spPr bwMode="auto">
                    <a:xfrm>
                      <a:off x="0" y="0"/>
                      <a:ext cx="5727700" cy="32673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5115C1E" w:rsidRPr="70A438D6">
        <w:rPr>
          <w:rFonts w:eastAsia="Arial" w:cs="Arial"/>
          <w:b/>
          <w:bCs/>
          <w:sz w:val="20"/>
          <w:szCs w:val="20"/>
        </w:rPr>
        <w:t>Figure S1. Mendelian randomization analysis investigating the association of genetically proxied epigenetic age acceleration with the risk of COVID-19.</w:t>
      </w:r>
      <w:r w:rsidR="05115C1E" w:rsidRPr="70A438D6">
        <w:rPr>
          <w:rFonts w:eastAsia="Arial" w:cs="Arial"/>
          <w:sz w:val="20"/>
          <w:szCs w:val="20"/>
        </w:rPr>
        <w:t xml:space="preserve"> </w:t>
      </w:r>
      <w:r w:rsidR="00264655">
        <w:rPr>
          <w:rFonts w:eastAsia="Arial" w:cs="Arial"/>
          <w:b/>
          <w:bCs/>
          <w:sz w:val="20"/>
          <w:szCs w:val="20"/>
        </w:rPr>
        <w:t>A</w:t>
      </w:r>
      <w:r w:rsidR="006A2596">
        <w:rPr>
          <w:rFonts w:eastAsia="Arial" w:cs="Arial"/>
          <w:b/>
          <w:bCs/>
          <w:sz w:val="20"/>
          <w:szCs w:val="20"/>
        </w:rPr>
        <w:t xml:space="preserve">, </w:t>
      </w:r>
      <w:r w:rsidR="00264655">
        <w:rPr>
          <w:rFonts w:eastAsia="Arial" w:cs="Arial"/>
          <w:b/>
          <w:bCs/>
          <w:sz w:val="20"/>
          <w:szCs w:val="20"/>
        </w:rPr>
        <w:t xml:space="preserve">C. </w:t>
      </w:r>
      <w:r w:rsidR="59BC8DEC" w:rsidRPr="70A438D6">
        <w:rPr>
          <w:rFonts w:eastAsia="Arial" w:cs="Arial"/>
          <w:sz w:val="20"/>
          <w:szCs w:val="20"/>
        </w:rPr>
        <w:t xml:space="preserve">The figure shows </w:t>
      </w:r>
      <w:r w:rsidR="05115C1E" w:rsidRPr="70A438D6">
        <w:rPr>
          <w:rFonts w:eastAsia="Arial" w:cs="Arial"/>
          <w:sz w:val="20"/>
          <w:szCs w:val="20"/>
        </w:rPr>
        <w:t>Forest plot</w:t>
      </w:r>
      <w:r w:rsidR="005E30F9">
        <w:rPr>
          <w:rFonts w:eastAsia="Arial" w:cs="Arial"/>
          <w:sz w:val="20"/>
          <w:szCs w:val="20"/>
        </w:rPr>
        <w:t>s</w:t>
      </w:r>
      <w:r w:rsidR="003C0FA0">
        <w:rPr>
          <w:rFonts w:eastAsia="Arial" w:cs="Arial"/>
          <w:sz w:val="20"/>
          <w:szCs w:val="20"/>
        </w:rPr>
        <w:t xml:space="preserve"> and </w:t>
      </w:r>
      <w:r w:rsidR="003C0FA0">
        <w:rPr>
          <w:sz w:val="20"/>
          <w:szCs w:val="20"/>
        </w:rPr>
        <w:t>p</w:t>
      </w:r>
      <w:r w:rsidR="003C0FA0" w:rsidRPr="6B66A923">
        <w:rPr>
          <w:sz w:val="20"/>
          <w:szCs w:val="20"/>
        </w:rPr>
        <w:t>lots of effect sizes</w:t>
      </w:r>
      <w:r w:rsidR="05115C1E" w:rsidRPr="70A438D6">
        <w:rPr>
          <w:rFonts w:eastAsia="Arial" w:cs="Arial"/>
          <w:sz w:val="20"/>
          <w:szCs w:val="20"/>
        </w:rPr>
        <w:t xml:space="preserve"> showing Mendelian randomization estimates for the causal effect of </w:t>
      </w:r>
      <w:r w:rsidR="00582A07">
        <w:rPr>
          <w:rFonts w:eastAsia="Arial" w:cs="Arial"/>
          <w:sz w:val="20"/>
          <w:szCs w:val="20"/>
        </w:rPr>
        <w:t xml:space="preserve">lifespan-related risk factors </w:t>
      </w:r>
      <w:r w:rsidR="00582A07">
        <w:rPr>
          <w:rFonts w:eastAsia="Arial" w:cs="Arial"/>
          <w:b/>
          <w:bCs/>
          <w:sz w:val="20"/>
          <w:szCs w:val="20"/>
        </w:rPr>
        <w:t xml:space="preserve">(A) </w:t>
      </w:r>
      <w:r w:rsidR="00582A07">
        <w:rPr>
          <w:rFonts w:eastAsia="Arial" w:cs="Arial"/>
          <w:sz w:val="20"/>
          <w:szCs w:val="20"/>
        </w:rPr>
        <w:t xml:space="preserve">and </w:t>
      </w:r>
      <w:r w:rsidR="05115C1E" w:rsidRPr="70A438D6">
        <w:rPr>
          <w:rFonts w:eastAsia="Arial" w:cs="Arial"/>
          <w:sz w:val="20"/>
          <w:szCs w:val="20"/>
        </w:rPr>
        <w:t>epigenetic age acceleration</w:t>
      </w:r>
      <w:r w:rsidR="00582A07">
        <w:rPr>
          <w:rFonts w:eastAsia="Arial" w:cs="Arial"/>
          <w:sz w:val="20"/>
          <w:szCs w:val="20"/>
        </w:rPr>
        <w:t xml:space="preserve"> </w:t>
      </w:r>
      <w:r w:rsidR="00582A07" w:rsidRPr="00582A07">
        <w:rPr>
          <w:rFonts w:eastAsia="Arial" w:cs="Arial"/>
          <w:b/>
          <w:bCs/>
          <w:sz w:val="20"/>
          <w:szCs w:val="20"/>
        </w:rPr>
        <w:t>(</w:t>
      </w:r>
      <w:r w:rsidR="003C0FA0">
        <w:rPr>
          <w:rFonts w:eastAsia="Arial" w:cs="Arial"/>
          <w:b/>
          <w:bCs/>
          <w:sz w:val="20"/>
          <w:szCs w:val="20"/>
        </w:rPr>
        <w:t>C</w:t>
      </w:r>
      <w:r w:rsidR="00582A07">
        <w:rPr>
          <w:rFonts w:eastAsia="Arial" w:cs="Arial"/>
          <w:b/>
          <w:bCs/>
          <w:sz w:val="20"/>
          <w:szCs w:val="20"/>
        </w:rPr>
        <w:t>)</w:t>
      </w:r>
      <w:r w:rsidR="05115C1E" w:rsidRPr="70A438D6">
        <w:rPr>
          <w:rFonts w:eastAsia="Arial" w:cs="Arial"/>
          <w:sz w:val="20"/>
          <w:szCs w:val="20"/>
        </w:rPr>
        <w:t xml:space="preserve"> on the risk of COVID-19. Error bars show the 95% confidential interval. Significant effects after correcting for 132 tests (P &lt; 0.05/132) are in orange. Nominally significant effects (P &lt; 0.05) are in black.</w:t>
      </w:r>
      <w:r w:rsidR="00D12846" w:rsidRPr="00D12846">
        <w:rPr>
          <w:b/>
          <w:bCs/>
          <w:sz w:val="20"/>
          <w:szCs w:val="20"/>
        </w:rPr>
        <w:t xml:space="preserve"> </w:t>
      </w:r>
      <w:r w:rsidR="00D12846">
        <w:rPr>
          <w:b/>
          <w:bCs/>
          <w:sz w:val="20"/>
          <w:szCs w:val="20"/>
        </w:rPr>
        <w:t>B</w:t>
      </w:r>
      <w:r w:rsidR="00D12846" w:rsidRPr="6B66A923">
        <w:rPr>
          <w:b/>
          <w:bCs/>
          <w:sz w:val="20"/>
          <w:szCs w:val="20"/>
        </w:rPr>
        <w:t xml:space="preserve">. </w:t>
      </w:r>
      <w:bookmarkStart w:id="0" w:name="OLE_LINK173"/>
      <w:bookmarkStart w:id="1" w:name="OLE_LINK174"/>
      <w:bookmarkStart w:id="2" w:name="OLE_LINK152"/>
      <w:bookmarkStart w:id="3" w:name="OLE_LINK153"/>
      <w:r w:rsidR="00724DE3" w:rsidRPr="6B66A923">
        <w:rPr>
          <w:sz w:val="20"/>
          <w:szCs w:val="20"/>
        </w:rPr>
        <w:t>Plots of effect sizes</w:t>
      </w:r>
      <w:r w:rsidR="00724DE3" w:rsidRPr="6B66A923">
        <w:rPr>
          <w:sz w:val="20"/>
          <w:szCs w:val="20"/>
        </w:rPr>
        <w:t xml:space="preserve"> </w:t>
      </w:r>
      <w:r w:rsidR="00D12846" w:rsidRPr="6B66A923">
        <w:rPr>
          <w:sz w:val="20"/>
          <w:szCs w:val="20"/>
        </w:rPr>
        <w:t xml:space="preserve">of all genetic instruments from GWAS for </w:t>
      </w:r>
      <w:bookmarkEnd w:id="2"/>
      <w:bookmarkEnd w:id="3"/>
      <w:r w:rsidR="00724DE3">
        <w:rPr>
          <w:sz w:val="20"/>
          <w:szCs w:val="20"/>
        </w:rPr>
        <w:t>AD</w:t>
      </w:r>
      <w:r w:rsidR="00D12846" w:rsidRPr="6B66A923">
        <w:rPr>
          <w:sz w:val="20"/>
          <w:szCs w:val="20"/>
        </w:rPr>
        <w:t xml:space="preserve"> </w:t>
      </w:r>
      <w:bookmarkStart w:id="4" w:name="OLE_LINK154"/>
      <w:bookmarkStart w:id="5" w:name="OLE_LINK155"/>
      <w:r w:rsidR="00D12846">
        <w:rPr>
          <w:sz w:val="20"/>
          <w:szCs w:val="20"/>
        </w:rPr>
        <w:t xml:space="preserve">(x-axis) </w:t>
      </w:r>
      <w:bookmarkEnd w:id="4"/>
      <w:bookmarkEnd w:id="5"/>
      <w:r w:rsidR="00D12846" w:rsidRPr="6B66A923">
        <w:rPr>
          <w:sz w:val="20"/>
          <w:szCs w:val="20"/>
        </w:rPr>
        <w:t>v</w:t>
      </w:r>
      <w:r w:rsidR="00D12846">
        <w:rPr>
          <w:sz w:val="20"/>
          <w:szCs w:val="20"/>
        </w:rPr>
        <w:t>ersus</w:t>
      </w:r>
      <w:r w:rsidR="00D12846" w:rsidRPr="6B66A923">
        <w:rPr>
          <w:sz w:val="20"/>
          <w:szCs w:val="20"/>
        </w:rPr>
        <w:t xml:space="preserve"> </w:t>
      </w:r>
      <w:bookmarkStart w:id="6" w:name="OLE_LINK158"/>
      <w:bookmarkStart w:id="7" w:name="OLE_LINK159"/>
      <w:r w:rsidR="00D12846" w:rsidRPr="6B66A923">
        <w:rPr>
          <w:sz w:val="20"/>
          <w:szCs w:val="20"/>
        </w:rPr>
        <w:t xml:space="preserve">those for </w:t>
      </w:r>
      <w:bookmarkStart w:id="8" w:name="OLE_LINK156"/>
      <w:bookmarkStart w:id="9" w:name="OLE_LINK157"/>
      <w:r w:rsidR="00D12846" w:rsidRPr="6B66A923">
        <w:rPr>
          <w:sz w:val="20"/>
          <w:szCs w:val="20"/>
        </w:rPr>
        <w:t>UKBB COVID-19</w:t>
      </w:r>
      <w:r w:rsidR="00D12846">
        <w:rPr>
          <w:sz w:val="20"/>
          <w:szCs w:val="20"/>
        </w:rPr>
        <w:t xml:space="preserve"> </w:t>
      </w:r>
      <w:bookmarkEnd w:id="8"/>
      <w:bookmarkEnd w:id="9"/>
      <w:r w:rsidR="00D12846">
        <w:rPr>
          <w:sz w:val="20"/>
          <w:szCs w:val="20"/>
        </w:rPr>
        <w:t>(y-axis</w:t>
      </w:r>
      <w:bookmarkEnd w:id="6"/>
      <w:bookmarkEnd w:id="7"/>
      <w:r w:rsidR="00264655">
        <w:rPr>
          <w:sz w:val="20"/>
          <w:szCs w:val="20"/>
        </w:rPr>
        <w:t>).</w:t>
      </w:r>
      <w:r w:rsidR="00D12846" w:rsidRPr="6B66A923">
        <w:rPr>
          <w:sz w:val="20"/>
          <w:szCs w:val="20"/>
        </w:rPr>
        <w:t xml:space="preserve"> Error bars represent standard errors.</w:t>
      </w:r>
      <w:bookmarkEnd w:id="0"/>
      <w:bookmarkEnd w:id="1"/>
    </w:p>
    <w:p w14:paraId="0508F61C" w14:textId="73BB4AA4" w:rsidR="00BE3E9D" w:rsidRDefault="00BE3E9D" w:rsidP="003959F3">
      <w:pPr>
        <w:spacing w:before="240" w:after="240"/>
        <w:rPr>
          <w:rFonts w:eastAsia="Arial" w:cs="Arial"/>
          <w:sz w:val="20"/>
          <w:szCs w:val="20"/>
        </w:rPr>
      </w:pPr>
    </w:p>
    <w:p w14:paraId="7619F478" w14:textId="77777777" w:rsidR="00BE3E9D" w:rsidRDefault="00BE3E9D">
      <w:pPr>
        <w:rPr>
          <w:rFonts w:eastAsia="Arial" w:cs="Arial"/>
          <w:sz w:val="20"/>
          <w:szCs w:val="20"/>
        </w:rPr>
      </w:pPr>
      <w:r>
        <w:rPr>
          <w:rFonts w:eastAsia="Arial" w:cs="Arial"/>
          <w:sz w:val="20"/>
          <w:szCs w:val="20"/>
        </w:rPr>
        <w:br w:type="page"/>
      </w:r>
    </w:p>
    <w:p w14:paraId="07AB149D" w14:textId="56F542E5" w:rsidR="00B16B16" w:rsidRDefault="0014549C" w:rsidP="003959F3">
      <w:pPr>
        <w:spacing w:before="240" w:after="240"/>
        <w:rPr>
          <w:rFonts w:eastAsia="Arial" w:cs="Arial"/>
          <w:b/>
          <w:bCs/>
          <w:sz w:val="20"/>
          <w:szCs w:val="20"/>
        </w:rPr>
      </w:pPr>
      <w:r>
        <w:rPr>
          <w:rFonts w:eastAsia="Arial" w:cs="Arial"/>
          <w:b/>
          <w:bCs/>
          <w:noProof/>
          <w:sz w:val="20"/>
          <w:szCs w:val="20"/>
        </w:rPr>
        <w:lastRenderedPageBreak/>
        <w:drawing>
          <wp:inline distT="0" distB="0" distL="0" distR="0" wp14:anchorId="1A142B8D" wp14:editId="34EC13C4">
            <wp:extent cx="5727700" cy="4900527"/>
            <wp:effectExtent l="0" t="0" r="0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9514"/>
                    <a:stretch/>
                  </pic:blipFill>
                  <pic:spPr bwMode="auto">
                    <a:xfrm>
                      <a:off x="0" y="0"/>
                      <a:ext cx="5727700" cy="49005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1775AE" w14:textId="62233729" w:rsidR="00BE3E9D" w:rsidRPr="00371BFB" w:rsidRDefault="79F9BBAE" w:rsidP="003959F3">
      <w:pPr>
        <w:spacing w:before="240" w:after="240"/>
        <w:rPr>
          <w:rFonts w:eastAsia="Arial" w:cs="Arial"/>
          <w:sz w:val="20"/>
          <w:szCs w:val="20"/>
        </w:rPr>
      </w:pPr>
      <w:r w:rsidRPr="00D43B4E">
        <w:rPr>
          <w:rFonts w:eastAsia="Arial" w:cs="Arial"/>
          <w:b/>
          <w:bCs/>
          <w:sz w:val="20"/>
          <w:szCs w:val="20"/>
        </w:rPr>
        <w:t>Figure S</w:t>
      </w:r>
      <w:r>
        <w:rPr>
          <w:rFonts w:eastAsia="Arial" w:cs="Arial"/>
          <w:b/>
          <w:bCs/>
          <w:sz w:val="20"/>
          <w:szCs w:val="20"/>
        </w:rPr>
        <w:t>2</w:t>
      </w:r>
      <w:r w:rsidRPr="00E83529">
        <w:rPr>
          <w:rFonts w:eastAsia="Arial" w:cs="Arial"/>
          <w:b/>
          <w:bCs/>
          <w:sz w:val="20"/>
          <w:szCs w:val="20"/>
        </w:rPr>
        <w:t xml:space="preserve">. </w:t>
      </w:r>
      <w:r w:rsidR="3665426C">
        <w:rPr>
          <w:rFonts w:eastAsia="Arial" w:cs="Arial"/>
          <w:b/>
          <w:bCs/>
          <w:sz w:val="20"/>
          <w:szCs w:val="20"/>
        </w:rPr>
        <w:t>B</w:t>
      </w:r>
      <w:r w:rsidR="3665426C" w:rsidRPr="00F25BE6">
        <w:rPr>
          <w:rFonts w:eastAsia="Arial" w:cs="Arial"/>
          <w:b/>
          <w:bCs/>
          <w:sz w:val="20"/>
          <w:szCs w:val="20"/>
        </w:rPr>
        <w:t>iological age acceleration in COVID-19 patients from UKBB cohort</w:t>
      </w:r>
      <w:r w:rsidRPr="00E83529">
        <w:rPr>
          <w:rFonts w:eastAsia="Arial" w:cs="Arial"/>
          <w:b/>
          <w:bCs/>
          <w:sz w:val="20"/>
          <w:szCs w:val="20"/>
        </w:rPr>
        <w:t>.</w:t>
      </w:r>
      <w:r w:rsidRPr="00D43B4E">
        <w:rPr>
          <w:rFonts w:eastAsia="Arial" w:cs="Arial"/>
          <w:sz w:val="20"/>
          <w:szCs w:val="20"/>
        </w:rPr>
        <w:t xml:space="preserve"> </w:t>
      </w:r>
      <w:bookmarkStart w:id="10" w:name="OLE_LINK164"/>
      <w:bookmarkStart w:id="11" w:name="OLE_LINK165"/>
      <w:r w:rsidR="65D26B90">
        <w:rPr>
          <w:rFonts w:eastAsia="Arial" w:cs="Arial"/>
          <w:sz w:val="20"/>
          <w:szCs w:val="20"/>
        </w:rPr>
        <w:t>Box</w:t>
      </w:r>
      <w:r w:rsidRPr="00D43B4E">
        <w:rPr>
          <w:rFonts w:eastAsia="Arial" w:cs="Arial"/>
          <w:sz w:val="20"/>
          <w:szCs w:val="20"/>
        </w:rPr>
        <w:t xml:space="preserve"> plot showing </w:t>
      </w:r>
      <w:r w:rsidR="65D26B90">
        <w:rPr>
          <w:rFonts w:eastAsia="Arial" w:cs="Arial"/>
          <w:sz w:val="20"/>
          <w:szCs w:val="20"/>
        </w:rPr>
        <w:t>the distribution</w:t>
      </w:r>
      <w:r w:rsidR="226B1AC1">
        <w:rPr>
          <w:rFonts w:eastAsia="Arial" w:cs="Arial"/>
          <w:sz w:val="20"/>
          <w:szCs w:val="20"/>
        </w:rPr>
        <w:t xml:space="preserve"> of</w:t>
      </w:r>
      <w:r w:rsidR="5579C202">
        <w:rPr>
          <w:rFonts w:eastAsia="Arial" w:cs="Arial"/>
          <w:sz w:val="20"/>
          <w:szCs w:val="20"/>
        </w:rPr>
        <w:t xml:space="preserve"> b</w:t>
      </w:r>
      <w:r w:rsidR="5579C202" w:rsidRPr="00D47F12">
        <w:rPr>
          <w:rFonts w:eastAsia="Arial" w:cs="Arial"/>
          <w:sz w:val="20"/>
          <w:szCs w:val="20"/>
        </w:rPr>
        <w:t>iological age acceleration</w:t>
      </w:r>
      <w:r w:rsidR="5579C202">
        <w:rPr>
          <w:rFonts w:eastAsia="Arial" w:cs="Arial"/>
          <w:sz w:val="20"/>
          <w:szCs w:val="20"/>
        </w:rPr>
        <w:t xml:space="preserve"> measured in different group</w:t>
      </w:r>
      <w:r w:rsidR="4075EE17">
        <w:rPr>
          <w:rFonts w:eastAsia="Arial" w:cs="Arial"/>
          <w:sz w:val="20"/>
          <w:szCs w:val="20"/>
        </w:rPr>
        <w:t>s.</w:t>
      </w:r>
      <w:r w:rsidR="003768E2" w:rsidRPr="003768E2">
        <w:t xml:space="preserve"> </w:t>
      </w:r>
      <w:r w:rsidR="003768E2" w:rsidRPr="003768E2">
        <w:rPr>
          <w:rFonts w:eastAsia="Arial" w:cs="Arial"/>
          <w:sz w:val="20"/>
          <w:szCs w:val="20"/>
        </w:rPr>
        <w:t>Boxes indicate 25%-75% interquartile ranges, and whiskers indicate minimum to maximum.</w:t>
      </w:r>
      <w:r w:rsidR="65D26B90">
        <w:rPr>
          <w:rFonts w:eastAsia="Arial" w:cs="Arial"/>
          <w:sz w:val="20"/>
          <w:szCs w:val="20"/>
        </w:rPr>
        <w:t xml:space="preserve"> </w:t>
      </w:r>
      <w:bookmarkEnd w:id="10"/>
      <w:bookmarkEnd w:id="11"/>
      <w:r w:rsidR="2182CB6D" w:rsidRPr="00BF465E">
        <w:rPr>
          <w:rFonts w:eastAsia="Arial" w:cs="Arial"/>
          <w:b/>
          <w:bCs/>
          <w:sz w:val="20"/>
          <w:szCs w:val="20"/>
        </w:rPr>
        <w:t>A</w:t>
      </w:r>
      <w:r w:rsidR="00660E17">
        <w:rPr>
          <w:rFonts w:eastAsia="Arial" w:cs="Arial"/>
          <w:b/>
          <w:bCs/>
          <w:sz w:val="20"/>
          <w:szCs w:val="20"/>
        </w:rPr>
        <w:t>, B</w:t>
      </w:r>
      <w:r w:rsidR="10FDC992">
        <w:rPr>
          <w:rFonts w:eastAsia="Arial" w:cs="Arial"/>
          <w:b/>
          <w:bCs/>
          <w:sz w:val="20"/>
          <w:szCs w:val="20"/>
        </w:rPr>
        <w:t xml:space="preserve">. </w:t>
      </w:r>
      <w:r w:rsidR="160ACA04" w:rsidRPr="00583B97">
        <w:rPr>
          <w:rFonts w:eastAsia="Arial" w:cs="Arial"/>
          <w:sz w:val="20"/>
          <w:szCs w:val="20"/>
        </w:rPr>
        <w:t>BAA</w:t>
      </w:r>
      <w:r w:rsidR="7BD03FD9">
        <w:rPr>
          <w:rFonts w:eastAsia="Arial" w:cs="Arial"/>
          <w:sz w:val="20"/>
          <w:szCs w:val="20"/>
        </w:rPr>
        <w:t xml:space="preserve"> measured by</w:t>
      </w:r>
      <w:r w:rsidR="7FFEA414">
        <w:rPr>
          <w:rFonts w:eastAsia="Arial" w:cs="Arial"/>
          <w:sz w:val="20"/>
          <w:szCs w:val="20"/>
        </w:rPr>
        <w:t xml:space="preserve"> DOSI. </w:t>
      </w:r>
      <w:r w:rsidR="00660E17">
        <w:rPr>
          <w:rFonts w:eastAsia="Arial" w:cs="Arial"/>
          <w:b/>
          <w:bCs/>
          <w:sz w:val="20"/>
          <w:szCs w:val="20"/>
        </w:rPr>
        <w:t>C, D</w:t>
      </w:r>
      <w:r w:rsidR="62B083FF">
        <w:rPr>
          <w:rFonts w:eastAsia="Arial" w:cs="Arial"/>
          <w:b/>
          <w:bCs/>
          <w:sz w:val="20"/>
          <w:szCs w:val="20"/>
        </w:rPr>
        <w:t xml:space="preserve">. </w:t>
      </w:r>
      <w:r w:rsidR="62B083FF">
        <w:rPr>
          <w:rFonts w:eastAsia="Arial" w:cs="Arial"/>
          <w:sz w:val="20"/>
          <w:szCs w:val="20"/>
        </w:rPr>
        <w:t>BAA measured by Phenotypic Age</w:t>
      </w:r>
      <w:r w:rsidR="466E49F4">
        <w:rPr>
          <w:rFonts w:eastAsia="Arial" w:cs="Arial"/>
          <w:sz w:val="20"/>
          <w:szCs w:val="20"/>
        </w:rPr>
        <w:t>.</w:t>
      </w:r>
    </w:p>
    <w:p w14:paraId="43D638DC" w14:textId="1582050C" w:rsidR="008F7144" w:rsidRDefault="004349B0" w:rsidP="008F7144">
      <w:pPr>
        <w:spacing w:before="240" w:after="240"/>
        <w:jc w:val="center"/>
        <w:rPr>
          <w:rFonts w:eastAsia="Arial" w:cs="Arial"/>
          <w:sz w:val="20"/>
          <w:szCs w:val="20"/>
        </w:rPr>
      </w:pPr>
      <w:r>
        <w:rPr>
          <w:rFonts w:eastAsia="Arial" w:cs="Arial"/>
          <w:noProof/>
          <w:sz w:val="20"/>
          <w:szCs w:val="20"/>
        </w:rPr>
        <w:lastRenderedPageBreak/>
        <w:drawing>
          <wp:inline distT="0" distB="0" distL="0" distR="0" wp14:anchorId="380868AA" wp14:editId="0EECCF1D">
            <wp:extent cx="5727700" cy="35801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58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501B9A" w14:textId="424E9356" w:rsidR="00437A42" w:rsidRDefault="008F7144" w:rsidP="003959F3">
      <w:pPr>
        <w:spacing w:before="240" w:after="240"/>
        <w:rPr>
          <w:rFonts w:eastAsia="Arial" w:cs="Arial"/>
          <w:sz w:val="20"/>
          <w:szCs w:val="20"/>
        </w:rPr>
      </w:pPr>
      <w:bookmarkStart w:id="12" w:name="OLE_LINK17"/>
      <w:bookmarkStart w:id="13" w:name="OLE_LINK18"/>
      <w:r w:rsidRPr="003E4933">
        <w:rPr>
          <w:rFonts w:eastAsia="Arial" w:cs="Arial"/>
          <w:b/>
          <w:bCs/>
          <w:sz w:val="20"/>
          <w:szCs w:val="20"/>
        </w:rPr>
        <w:t xml:space="preserve">Figure </w:t>
      </w:r>
      <w:r w:rsidR="00BE3E9D">
        <w:rPr>
          <w:rFonts w:eastAsia="Arial" w:cs="Arial"/>
          <w:b/>
          <w:bCs/>
          <w:sz w:val="20"/>
          <w:szCs w:val="20"/>
        </w:rPr>
        <w:t>S</w:t>
      </w:r>
      <w:r w:rsidR="00BE3E9D">
        <w:rPr>
          <w:rFonts w:eastAsia="Arial" w:cs="Arial"/>
          <w:b/>
          <w:sz w:val="20"/>
          <w:szCs w:val="20"/>
        </w:rPr>
        <w:t>3</w:t>
      </w:r>
      <w:r w:rsidRPr="00A82026">
        <w:rPr>
          <w:rFonts w:eastAsia="Arial" w:cs="Arial"/>
          <w:b/>
          <w:bCs/>
          <w:sz w:val="20"/>
          <w:szCs w:val="20"/>
        </w:rPr>
        <w:t>.  Putative causal associations bet</w:t>
      </w:r>
      <w:bookmarkEnd w:id="12"/>
      <w:bookmarkEnd w:id="13"/>
      <w:r w:rsidRPr="00A82026">
        <w:rPr>
          <w:rFonts w:eastAsia="Arial" w:cs="Arial"/>
          <w:b/>
          <w:bCs/>
          <w:sz w:val="20"/>
          <w:szCs w:val="20"/>
        </w:rPr>
        <w:t>ween 22 common diseases and the risk of COVID-19.</w:t>
      </w:r>
      <w:r>
        <w:rPr>
          <w:rFonts w:eastAsia="Arial" w:cs="Arial"/>
          <w:sz w:val="20"/>
          <w:szCs w:val="20"/>
        </w:rPr>
        <w:t xml:space="preserve"> </w:t>
      </w:r>
      <w:r w:rsidRPr="00825A43">
        <w:rPr>
          <w:rFonts w:eastAsia="Arial" w:cs="Arial"/>
          <w:sz w:val="20"/>
          <w:szCs w:val="20"/>
        </w:rPr>
        <w:t xml:space="preserve">Shown are the results </w:t>
      </w:r>
      <w:r w:rsidRPr="5FF95AF7">
        <w:rPr>
          <w:rFonts w:eastAsia="Arial" w:cs="Arial"/>
          <w:sz w:val="20"/>
          <w:szCs w:val="20"/>
        </w:rPr>
        <w:t>of</w:t>
      </w:r>
      <w:r w:rsidRPr="00825A43">
        <w:rPr>
          <w:rFonts w:eastAsia="Arial" w:cs="Arial"/>
          <w:sz w:val="20"/>
          <w:szCs w:val="20"/>
        </w:rPr>
        <w:t xml:space="preserve"> GSMR analyses with disease data from a community-based stud</w:t>
      </w:r>
      <w:r>
        <w:rPr>
          <w:rFonts w:eastAsia="Arial" w:cs="Arial"/>
          <w:sz w:val="20"/>
          <w:szCs w:val="20"/>
        </w:rPr>
        <w:t>y</w:t>
      </w:r>
      <w:r w:rsidRPr="00825A43">
        <w:rPr>
          <w:rFonts w:eastAsia="Arial" w:cs="Arial"/>
          <w:sz w:val="20"/>
          <w:szCs w:val="20"/>
        </w:rPr>
        <w:t xml:space="preserve"> (GERA)</w:t>
      </w:r>
      <w:r>
        <w:rPr>
          <w:rFonts w:eastAsia="Arial" w:cs="Arial"/>
          <w:sz w:val="20"/>
          <w:szCs w:val="20"/>
        </w:rPr>
        <w:t>.</w:t>
      </w:r>
      <w:r w:rsidRPr="00825A43">
        <w:rPr>
          <w:rFonts w:eastAsia="Arial" w:cs="Arial"/>
          <w:sz w:val="20"/>
          <w:szCs w:val="20"/>
        </w:rPr>
        <w:t xml:space="preserve"> Colors represent the effect sizes (as measured by</w:t>
      </w:r>
      <w:r>
        <w:rPr>
          <w:rFonts w:eastAsia="Arial" w:cs="Arial"/>
          <w:sz w:val="20"/>
          <w:szCs w:val="20"/>
        </w:rPr>
        <w:t xml:space="preserve"> log</w:t>
      </w:r>
      <w:r w:rsidRPr="00825A43">
        <w:rPr>
          <w:rFonts w:eastAsia="Arial" w:cs="Arial"/>
          <w:sz w:val="20"/>
          <w:szCs w:val="20"/>
        </w:rPr>
        <w:t xml:space="preserve"> odds ratios, </w:t>
      </w:r>
      <w:r>
        <w:rPr>
          <w:rFonts w:eastAsia="Arial" w:cs="Arial"/>
          <w:sz w:val="20"/>
          <w:szCs w:val="20"/>
        </w:rPr>
        <w:t xml:space="preserve">log </w:t>
      </w:r>
      <w:r w:rsidRPr="00825A43">
        <w:rPr>
          <w:rFonts w:eastAsia="Arial" w:cs="Arial"/>
          <w:sz w:val="20"/>
          <w:szCs w:val="20"/>
        </w:rPr>
        <w:t xml:space="preserve">ORs) of </w:t>
      </w:r>
      <w:r w:rsidRPr="00C11BB0">
        <w:rPr>
          <w:rFonts w:eastAsia="Arial" w:cs="Arial"/>
          <w:sz w:val="20"/>
          <w:szCs w:val="20"/>
        </w:rPr>
        <w:t xml:space="preserve">diseases </w:t>
      </w:r>
      <w:r w:rsidRPr="00825A43">
        <w:rPr>
          <w:rFonts w:eastAsia="Arial" w:cs="Arial"/>
          <w:sz w:val="20"/>
          <w:szCs w:val="20"/>
        </w:rPr>
        <w:t xml:space="preserve">on </w:t>
      </w:r>
      <w:r>
        <w:rPr>
          <w:rFonts w:eastAsia="Arial" w:cs="Arial"/>
          <w:sz w:val="20"/>
          <w:szCs w:val="20"/>
        </w:rPr>
        <w:t>COVID-19</w:t>
      </w:r>
      <w:r w:rsidRPr="00825A43">
        <w:rPr>
          <w:rFonts w:eastAsia="Arial" w:cs="Arial"/>
          <w:sz w:val="20"/>
          <w:szCs w:val="20"/>
        </w:rPr>
        <w:t>, red for risk effects</w:t>
      </w:r>
      <w:r>
        <w:rPr>
          <w:rFonts w:eastAsia="Arial" w:cs="Arial"/>
          <w:sz w:val="20"/>
          <w:szCs w:val="20"/>
        </w:rPr>
        <w:t>,</w:t>
      </w:r>
      <w:r w:rsidRPr="00825A43">
        <w:rPr>
          <w:rFonts w:eastAsia="Arial" w:cs="Arial"/>
          <w:sz w:val="20"/>
          <w:szCs w:val="20"/>
        </w:rPr>
        <w:t xml:space="preserve"> blue for protective effects</w:t>
      </w:r>
      <w:r>
        <w:rPr>
          <w:rFonts w:eastAsia="Arial" w:cs="Arial"/>
          <w:sz w:val="20"/>
          <w:szCs w:val="20"/>
        </w:rPr>
        <w:t>, and gray means the effect cannot be estimated due to limited power</w:t>
      </w:r>
      <w:r w:rsidRPr="00825A43">
        <w:rPr>
          <w:rFonts w:eastAsia="Arial" w:cs="Arial"/>
          <w:sz w:val="20"/>
          <w:szCs w:val="20"/>
        </w:rPr>
        <w:t xml:space="preserve">. </w:t>
      </w:r>
      <w:r w:rsidRPr="5FF95AF7">
        <w:rPr>
          <w:rFonts w:eastAsia="Arial" w:cs="Arial"/>
          <w:sz w:val="20"/>
          <w:szCs w:val="20"/>
        </w:rPr>
        <w:t>N</w:t>
      </w:r>
      <w:r w:rsidRPr="00825A43">
        <w:rPr>
          <w:rFonts w:eastAsia="Arial" w:cs="Arial"/>
          <w:sz w:val="20"/>
          <w:szCs w:val="20"/>
        </w:rPr>
        <w:t>ominally significant effects (</w:t>
      </w:r>
      <w:r w:rsidRPr="00DD2B81">
        <w:rPr>
          <w:rFonts w:eastAsia="Arial" w:cs="Arial"/>
          <w:i/>
          <w:iCs/>
          <w:sz w:val="20"/>
          <w:szCs w:val="20"/>
        </w:rPr>
        <w:t>P</w:t>
      </w:r>
      <w:r w:rsidRPr="00825A43">
        <w:rPr>
          <w:rFonts w:eastAsia="Arial" w:cs="Arial"/>
          <w:sz w:val="20"/>
          <w:szCs w:val="20"/>
        </w:rPr>
        <w:t xml:space="preserve"> &lt; 0.05) are labeled with </w:t>
      </w:r>
      <w:r w:rsidR="002079A3">
        <w:rPr>
          <w:rFonts w:eastAsia="Arial" w:cs="Arial"/>
          <w:sz w:val="20"/>
          <w:szCs w:val="20"/>
        </w:rPr>
        <w:t>OR (P-value)</w:t>
      </w:r>
      <w:r>
        <w:rPr>
          <w:rFonts w:eastAsia="Arial" w:cs="Arial"/>
          <w:sz w:val="20"/>
          <w:szCs w:val="20"/>
        </w:rPr>
        <w:t>.</w:t>
      </w:r>
    </w:p>
    <w:p w14:paraId="0BC8998D" w14:textId="77777777" w:rsidR="00437A42" w:rsidRDefault="00437A42">
      <w:pPr>
        <w:rPr>
          <w:rFonts w:eastAsia="Arial" w:cs="Arial"/>
          <w:sz w:val="20"/>
          <w:szCs w:val="20"/>
        </w:rPr>
      </w:pPr>
      <w:r>
        <w:rPr>
          <w:rFonts w:eastAsia="Arial" w:cs="Arial"/>
          <w:sz w:val="20"/>
          <w:szCs w:val="20"/>
        </w:rPr>
        <w:br w:type="page"/>
      </w:r>
    </w:p>
    <w:p w14:paraId="577F96F0" w14:textId="27E898F1" w:rsidR="00970185" w:rsidRDefault="00437A42" w:rsidP="003959F3">
      <w:pPr>
        <w:spacing w:before="240" w:after="240"/>
        <w:rPr>
          <w:rFonts w:eastAsia="Arial" w:cs="Arial"/>
          <w:sz w:val="20"/>
          <w:szCs w:val="20"/>
        </w:rPr>
      </w:pPr>
      <w:r>
        <w:rPr>
          <w:rFonts w:eastAsia="Arial" w:cs="Arial"/>
          <w:noProof/>
          <w:sz w:val="20"/>
          <w:szCs w:val="20"/>
        </w:rPr>
        <w:lastRenderedPageBreak/>
        <w:drawing>
          <wp:inline distT="0" distB="0" distL="0" distR="0" wp14:anchorId="21401684" wp14:editId="408569F5">
            <wp:extent cx="5727700" cy="6871689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185"/>
                    <a:stretch/>
                  </pic:blipFill>
                  <pic:spPr bwMode="auto">
                    <a:xfrm>
                      <a:off x="0" y="0"/>
                      <a:ext cx="5727700" cy="68716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AC7905" w14:textId="3FFB97A2" w:rsidR="008028C3" w:rsidRPr="00E55F20" w:rsidRDefault="00C669DF" w:rsidP="00E55F20">
      <w:pPr>
        <w:rPr>
          <w:rFonts w:eastAsia="Arial" w:cs="Arial"/>
          <w:sz w:val="20"/>
          <w:szCs w:val="20"/>
        </w:rPr>
      </w:pPr>
      <w:r w:rsidRPr="005A31BE">
        <w:rPr>
          <w:rFonts w:eastAsia="Arial" w:cs="Arial"/>
          <w:b/>
          <w:bCs/>
          <w:sz w:val="20"/>
          <w:szCs w:val="20"/>
        </w:rPr>
        <w:t>Figure S</w:t>
      </w:r>
      <w:r w:rsidR="00181165" w:rsidRPr="005A31BE">
        <w:rPr>
          <w:rFonts w:eastAsia="Arial" w:cs="Arial"/>
          <w:b/>
          <w:bCs/>
          <w:sz w:val="20"/>
          <w:szCs w:val="20"/>
        </w:rPr>
        <w:t>4</w:t>
      </w:r>
      <w:r w:rsidRPr="005A31BE">
        <w:rPr>
          <w:rFonts w:eastAsia="Arial" w:cs="Arial"/>
          <w:b/>
          <w:bCs/>
          <w:sz w:val="20"/>
          <w:szCs w:val="20"/>
        </w:rPr>
        <w:t xml:space="preserve">.  </w:t>
      </w:r>
      <w:r w:rsidR="00782F83" w:rsidRPr="005A31BE">
        <w:rPr>
          <w:rFonts w:eastAsia="Arial" w:cs="Arial"/>
          <w:b/>
          <w:bCs/>
          <w:sz w:val="20"/>
          <w:szCs w:val="20"/>
        </w:rPr>
        <w:t>Twenty bivariate loci identified at genome-wide significance.</w:t>
      </w:r>
      <w:r w:rsidR="00782F83" w:rsidRPr="00782F83">
        <w:rPr>
          <w:rFonts w:eastAsia="Arial" w:cs="Arial"/>
          <w:sz w:val="20"/>
          <w:szCs w:val="20"/>
        </w:rPr>
        <w:t xml:space="preserve"> </w:t>
      </w:r>
      <w:r w:rsidR="008C58CF" w:rsidRPr="008C58CF">
        <w:rPr>
          <w:rFonts w:eastAsia="Arial" w:cs="Arial"/>
          <w:b/>
          <w:bCs/>
          <w:sz w:val="20"/>
          <w:szCs w:val="20"/>
        </w:rPr>
        <w:t>A.</w:t>
      </w:r>
      <w:r w:rsidR="008C58CF">
        <w:rPr>
          <w:rFonts w:eastAsia="Arial" w:cs="Arial"/>
          <w:sz w:val="20"/>
          <w:szCs w:val="20"/>
        </w:rPr>
        <w:t xml:space="preserve"> </w:t>
      </w:r>
      <w:r w:rsidR="00782F83" w:rsidRPr="00782F83">
        <w:rPr>
          <w:rFonts w:eastAsia="Arial" w:cs="Arial"/>
          <w:sz w:val="20"/>
          <w:szCs w:val="20"/>
        </w:rPr>
        <w:t>Manhattan plot showing the nominal strength of association −log10(P value)</w:t>
      </w:r>
      <w:r w:rsidR="005A31BE">
        <w:rPr>
          <w:rFonts w:eastAsia="Arial" w:cs="Arial"/>
          <w:sz w:val="20"/>
          <w:szCs w:val="20"/>
        </w:rPr>
        <w:t xml:space="preserve"> </w:t>
      </w:r>
      <w:r w:rsidR="00782F83" w:rsidRPr="00782F83">
        <w:rPr>
          <w:rFonts w:eastAsia="Arial" w:cs="Arial"/>
          <w:sz w:val="20"/>
          <w:szCs w:val="20"/>
        </w:rPr>
        <w:t xml:space="preserve">on the y-axis against the chromosomal position of SNPs on the x-axis, where the null hypothesis is no association with </w:t>
      </w:r>
      <w:r w:rsidR="008767CE">
        <w:rPr>
          <w:rFonts w:eastAsia="Arial" w:cs="Arial"/>
          <w:sz w:val="20"/>
          <w:szCs w:val="20"/>
        </w:rPr>
        <w:t>healthy aging</w:t>
      </w:r>
      <w:r w:rsidR="00782F83" w:rsidRPr="00782F83">
        <w:rPr>
          <w:rFonts w:eastAsia="Arial" w:cs="Arial"/>
          <w:sz w:val="20"/>
          <w:szCs w:val="20"/>
        </w:rPr>
        <w:t xml:space="preserve"> and </w:t>
      </w:r>
      <w:r w:rsidR="008767CE">
        <w:rPr>
          <w:rFonts w:eastAsia="Arial" w:cs="Arial"/>
          <w:sz w:val="20"/>
          <w:szCs w:val="20"/>
        </w:rPr>
        <w:t>COVID-19 infection.</w:t>
      </w:r>
      <w:r w:rsidR="004102CF">
        <w:rPr>
          <w:rFonts w:eastAsia="Arial" w:cs="Arial"/>
          <w:sz w:val="20"/>
          <w:szCs w:val="20"/>
        </w:rPr>
        <w:t xml:space="preserve"> </w:t>
      </w:r>
      <w:r w:rsidR="004102CF" w:rsidRPr="004102CF">
        <w:rPr>
          <w:rFonts w:eastAsia="Arial" w:cs="Arial"/>
          <w:b/>
          <w:bCs/>
          <w:sz w:val="20"/>
          <w:szCs w:val="20"/>
        </w:rPr>
        <w:t>B.</w:t>
      </w:r>
      <w:r w:rsidR="004102CF">
        <w:rPr>
          <w:rFonts w:eastAsia="Arial" w:cs="Arial"/>
          <w:b/>
          <w:bCs/>
          <w:sz w:val="20"/>
          <w:szCs w:val="20"/>
        </w:rPr>
        <w:t xml:space="preserve"> </w:t>
      </w:r>
      <w:r w:rsidR="00A23653">
        <w:rPr>
          <w:rFonts w:eastAsia="Arial" w:cs="Arial"/>
          <w:sz w:val="20"/>
          <w:szCs w:val="20"/>
        </w:rPr>
        <w:t>M</w:t>
      </w:r>
      <w:r w:rsidR="00A23653" w:rsidRPr="00A23653">
        <w:rPr>
          <w:rFonts w:eastAsia="Arial" w:cs="Arial"/>
          <w:sz w:val="20"/>
          <w:szCs w:val="20"/>
        </w:rPr>
        <w:t xml:space="preserve">anhattan plot of the gene-based test as computed by MAGMA </w:t>
      </w:r>
      <w:r w:rsidR="004E6187">
        <w:rPr>
          <w:rFonts w:eastAsia="Arial" w:cs="Arial"/>
          <w:sz w:val="20"/>
          <w:szCs w:val="20"/>
        </w:rPr>
        <w:t>test</w:t>
      </w:r>
      <w:r w:rsidR="00A23653">
        <w:rPr>
          <w:rFonts w:eastAsia="Arial" w:cs="Arial"/>
          <w:sz w:val="20"/>
          <w:szCs w:val="20"/>
        </w:rPr>
        <w:t>.</w:t>
      </w:r>
      <w:r w:rsidR="004E6187">
        <w:rPr>
          <w:rFonts w:eastAsia="Arial" w:cs="Arial"/>
          <w:sz w:val="20"/>
          <w:szCs w:val="20"/>
        </w:rPr>
        <w:t xml:space="preserve"> </w:t>
      </w:r>
      <w:r w:rsidR="002F7D0C" w:rsidRPr="002F7D0C">
        <w:rPr>
          <w:rFonts w:eastAsia="Arial" w:cs="Arial"/>
          <w:sz w:val="20"/>
          <w:szCs w:val="20"/>
        </w:rPr>
        <w:t>SNPs were mapped to 18370 protein coding genes. Genome wide significance (red dashed line in the plot) was defined at P = 0.05/18370 = 2.722e-6.</w:t>
      </w:r>
      <w:r w:rsidR="00FD7A67">
        <w:rPr>
          <w:rFonts w:eastAsia="Arial" w:cs="Arial"/>
          <w:sz w:val="20"/>
          <w:szCs w:val="20"/>
        </w:rPr>
        <w:t xml:space="preserve"> </w:t>
      </w:r>
      <w:r w:rsidR="00FD7A67">
        <w:rPr>
          <w:rFonts w:eastAsia="Arial" w:cs="Arial"/>
          <w:b/>
          <w:bCs/>
          <w:sz w:val="20"/>
          <w:szCs w:val="20"/>
        </w:rPr>
        <w:t xml:space="preserve">C. </w:t>
      </w:r>
      <w:r w:rsidR="00FD7A67">
        <w:rPr>
          <w:rFonts w:eastAsia="Arial" w:cs="Arial"/>
          <w:sz w:val="20"/>
          <w:szCs w:val="20"/>
        </w:rPr>
        <w:t>The histogram presenting the summery result per genomic locus.</w:t>
      </w:r>
      <w:r w:rsidR="00F55D15">
        <w:rPr>
          <w:rFonts w:eastAsia="Arial" w:cs="Arial"/>
          <w:sz w:val="20"/>
          <w:szCs w:val="20"/>
        </w:rPr>
        <w:t xml:space="preserve"> </w:t>
      </w:r>
      <w:r w:rsidR="00F55D15">
        <w:rPr>
          <w:rFonts w:eastAsia="Arial" w:cs="Arial"/>
          <w:b/>
          <w:bCs/>
          <w:sz w:val="20"/>
          <w:szCs w:val="20"/>
        </w:rPr>
        <w:t xml:space="preserve">D. </w:t>
      </w:r>
      <w:r w:rsidR="008028C3" w:rsidRPr="00DA0861">
        <w:rPr>
          <w:rFonts w:eastAsia="Arial" w:cs="Arial"/>
          <w:sz w:val="20"/>
          <w:szCs w:val="20"/>
        </w:rPr>
        <w:t>The histogram displays the proportion of</w:t>
      </w:r>
      <w:r w:rsidR="00DA0861" w:rsidRPr="00DA0861">
        <w:rPr>
          <w:rFonts w:eastAsia="Arial" w:cs="Arial"/>
          <w:sz w:val="20"/>
          <w:szCs w:val="20"/>
        </w:rPr>
        <w:t xml:space="preserve"> </w:t>
      </w:r>
      <w:r w:rsidR="008028C3" w:rsidRPr="00DA0861">
        <w:rPr>
          <w:rFonts w:eastAsia="Arial" w:cs="Arial"/>
          <w:sz w:val="20"/>
          <w:szCs w:val="20"/>
        </w:rPr>
        <w:t>SNPs which</w:t>
      </w:r>
      <w:r w:rsidR="00DA0861" w:rsidRPr="00DA0861">
        <w:rPr>
          <w:rFonts w:eastAsia="Arial" w:cs="Arial"/>
          <w:sz w:val="20"/>
          <w:szCs w:val="20"/>
        </w:rPr>
        <w:t xml:space="preserve"> </w:t>
      </w:r>
      <w:r w:rsidR="008028C3" w:rsidRPr="00DA0861">
        <w:rPr>
          <w:rFonts w:eastAsia="Arial" w:cs="Arial"/>
          <w:sz w:val="20"/>
          <w:szCs w:val="20"/>
        </w:rPr>
        <w:t>have</w:t>
      </w:r>
      <w:r w:rsidR="00DA0861" w:rsidRPr="00DA0861">
        <w:rPr>
          <w:rFonts w:eastAsia="Arial" w:cs="Arial"/>
          <w:sz w:val="20"/>
          <w:szCs w:val="20"/>
        </w:rPr>
        <w:t xml:space="preserve"> </w:t>
      </w:r>
      <w:r w:rsidR="008028C3" w:rsidRPr="00DA0861">
        <w:rPr>
          <w:rFonts w:eastAsia="Arial" w:cs="Arial"/>
          <w:sz w:val="20"/>
          <w:szCs w:val="20"/>
        </w:rPr>
        <w:t>corresponding</w:t>
      </w:r>
      <w:r w:rsidR="00DA0861" w:rsidRPr="00DA0861">
        <w:rPr>
          <w:rFonts w:eastAsia="Arial" w:cs="Arial"/>
          <w:sz w:val="20"/>
          <w:szCs w:val="20"/>
        </w:rPr>
        <w:t xml:space="preserve"> </w:t>
      </w:r>
      <w:r w:rsidR="008028C3" w:rsidRPr="00DA0861">
        <w:rPr>
          <w:rFonts w:eastAsia="Arial" w:cs="Arial"/>
          <w:sz w:val="20"/>
          <w:szCs w:val="20"/>
        </w:rPr>
        <w:t>functional</w:t>
      </w:r>
      <w:r w:rsidR="00DA0861" w:rsidRPr="00DA0861">
        <w:rPr>
          <w:rFonts w:eastAsia="Arial" w:cs="Arial"/>
          <w:sz w:val="20"/>
          <w:szCs w:val="20"/>
        </w:rPr>
        <w:t xml:space="preserve"> </w:t>
      </w:r>
      <w:r w:rsidR="008028C3" w:rsidRPr="00DA0861">
        <w:rPr>
          <w:rFonts w:eastAsia="Arial" w:cs="Arial"/>
          <w:sz w:val="20"/>
          <w:szCs w:val="20"/>
        </w:rPr>
        <w:t>annotation</w:t>
      </w:r>
      <w:r w:rsidR="00DA0861" w:rsidRPr="00DA0861">
        <w:rPr>
          <w:rFonts w:eastAsia="Arial" w:cs="Arial"/>
          <w:sz w:val="20"/>
          <w:szCs w:val="20"/>
        </w:rPr>
        <w:t xml:space="preserve"> </w:t>
      </w:r>
      <w:r w:rsidR="008028C3" w:rsidRPr="00DA0861">
        <w:rPr>
          <w:rFonts w:eastAsia="Arial" w:cs="Arial"/>
          <w:sz w:val="20"/>
          <w:szCs w:val="20"/>
        </w:rPr>
        <w:t>assigned by</w:t>
      </w:r>
      <w:r w:rsidR="00DA0861" w:rsidRPr="00DA0861">
        <w:rPr>
          <w:rFonts w:eastAsia="Arial" w:cs="Arial"/>
          <w:sz w:val="20"/>
          <w:szCs w:val="20"/>
        </w:rPr>
        <w:t xml:space="preserve"> </w:t>
      </w:r>
      <w:r w:rsidR="008028C3" w:rsidRPr="00DA0861">
        <w:rPr>
          <w:rFonts w:eastAsia="Arial" w:cs="Arial"/>
          <w:sz w:val="20"/>
          <w:szCs w:val="20"/>
        </w:rPr>
        <w:t>ANNOVAR. Bars</w:t>
      </w:r>
      <w:r w:rsidR="00DA0861" w:rsidRPr="00DA0861">
        <w:rPr>
          <w:rFonts w:eastAsia="Arial" w:cs="Arial"/>
          <w:sz w:val="20"/>
          <w:szCs w:val="20"/>
        </w:rPr>
        <w:t xml:space="preserve"> </w:t>
      </w:r>
      <w:r w:rsidR="008028C3" w:rsidRPr="00DA0861">
        <w:rPr>
          <w:rFonts w:eastAsia="Arial" w:cs="Arial"/>
          <w:sz w:val="20"/>
          <w:szCs w:val="20"/>
        </w:rPr>
        <w:t>are colored by</w:t>
      </w:r>
      <w:r w:rsidR="00DA0861" w:rsidRPr="00DA0861">
        <w:rPr>
          <w:rFonts w:eastAsia="Arial" w:cs="Arial"/>
          <w:sz w:val="20"/>
          <w:szCs w:val="20"/>
        </w:rPr>
        <w:t xml:space="preserve"> </w:t>
      </w:r>
      <w:r w:rsidR="008028C3" w:rsidRPr="00DA0861">
        <w:rPr>
          <w:rFonts w:eastAsia="Arial" w:cs="Arial"/>
          <w:sz w:val="20"/>
          <w:szCs w:val="20"/>
        </w:rPr>
        <w:t>log2(enrichment)</w:t>
      </w:r>
      <w:r w:rsidR="00DA0861" w:rsidRPr="00DA0861">
        <w:rPr>
          <w:rFonts w:eastAsia="Arial" w:cs="Arial"/>
          <w:sz w:val="20"/>
          <w:szCs w:val="20"/>
        </w:rPr>
        <w:t xml:space="preserve"> </w:t>
      </w:r>
      <w:r w:rsidR="008028C3" w:rsidRPr="00DA0861">
        <w:rPr>
          <w:rFonts w:eastAsia="Arial" w:cs="Arial"/>
          <w:sz w:val="20"/>
          <w:szCs w:val="20"/>
        </w:rPr>
        <w:t>relative to all</w:t>
      </w:r>
      <w:r w:rsidR="00DA0861" w:rsidRPr="00DA0861">
        <w:rPr>
          <w:rFonts w:eastAsia="Arial" w:cs="Arial"/>
          <w:sz w:val="20"/>
          <w:szCs w:val="20"/>
        </w:rPr>
        <w:t xml:space="preserve"> </w:t>
      </w:r>
      <w:r w:rsidR="008028C3" w:rsidRPr="00DA0861">
        <w:rPr>
          <w:rFonts w:eastAsia="Arial" w:cs="Arial"/>
          <w:sz w:val="20"/>
          <w:szCs w:val="20"/>
        </w:rPr>
        <w:t>SNPs in the</w:t>
      </w:r>
      <w:r w:rsidR="00DA0861" w:rsidRPr="00DA0861">
        <w:rPr>
          <w:rFonts w:eastAsia="Arial" w:cs="Arial"/>
          <w:sz w:val="20"/>
          <w:szCs w:val="20"/>
        </w:rPr>
        <w:t xml:space="preserve"> </w:t>
      </w:r>
      <w:r w:rsidR="008028C3" w:rsidRPr="00DA0861">
        <w:rPr>
          <w:rFonts w:eastAsia="Arial" w:cs="Arial"/>
          <w:sz w:val="20"/>
          <w:szCs w:val="20"/>
        </w:rPr>
        <w:t>selected</w:t>
      </w:r>
      <w:r w:rsidR="00E55F20">
        <w:rPr>
          <w:rFonts w:eastAsia="Arial" w:cs="Arial"/>
          <w:sz w:val="20"/>
          <w:szCs w:val="20"/>
        </w:rPr>
        <w:t xml:space="preserve"> </w:t>
      </w:r>
      <w:r w:rsidR="00E55F20" w:rsidRPr="00E55F20">
        <w:rPr>
          <w:rFonts w:eastAsia="Arial" w:cs="Arial"/>
          <w:sz w:val="20"/>
          <w:szCs w:val="20"/>
        </w:rPr>
        <w:t>reference panel.</w:t>
      </w:r>
    </w:p>
    <w:p w14:paraId="43F5F0A5" w14:textId="6E5E35A4" w:rsidR="009E1829" w:rsidRDefault="009E1829" w:rsidP="008028C3">
      <w:pPr>
        <w:rPr>
          <w:rFonts w:eastAsia="Arial" w:cs="Arial"/>
          <w:sz w:val="20"/>
          <w:szCs w:val="20"/>
        </w:rPr>
      </w:pPr>
    </w:p>
    <w:p w14:paraId="0FA0AF81" w14:textId="77777777" w:rsidR="009E1829" w:rsidRDefault="009E1829">
      <w:pPr>
        <w:rPr>
          <w:rFonts w:eastAsia="Arial" w:cs="Arial"/>
          <w:sz w:val="20"/>
          <w:szCs w:val="20"/>
        </w:rPr>
      </w:pPr>
      <w:r>
        <w:rPr>
          <w:rFonts w:eastAsia="Arial" w:cs="Arial"/>
          <w:sz w:val="20"/>
          <w:szCs w:val="20"/>
        </w:rPr>
        <w:br w:type="page"/>
      </w:r>
    </w:p>
    <w:p w14:paraId="3CC3A515" w14:textId="77777777" w:rsidR="008F7144" w:rsidRDefault="008F7144" w:rsidP="009E1829">
      <w:pPr>
        <w:rPr>
          <w:rFonts w:eastAsia="Arial" w:cs="Arial"/>
          <w:sz w:val="20"/>
          <w:szCs w:val="20"/>
        </w:rPr>
      </w:pPr>
    </w:p>
    <w:p w14:paraId="783FA7F3" w14:textId="77777777" w:rsidR="008F7144" w:rsidRDefault="008F7144" w:rsidP="008F7144">
      <w:pPr>
        <w:rPr>
          <w:b/>
          <w:bCs/>
          <w:color w:val="000000" w:themeColor="text1"/>
          <w:sz w:val="20"/>
          <w:szCs w:val="20"/>
        </w:rPr>
      </w:pPr>
      <w:r w:rsidRPr="00847A48">
        <w:rPr>
          <w:b/>
          <w:bCs/>
          <w:color w:val="000000" w:themeColor="text1"/>
          <w:sz w:val="20"/>
          <w:szCs w:val="20"/>
        </w:rPr>
        <w:t xml:space="preserve">Table </w:t>
      </w:r>
      <w:r>
        <w:rPr>
          <w:b/>
          <w:color w:val="000000" w:themeColor="text1"/>
          <w:sz w:val="20"/>
          <w:szCs w:val="20"/>
        </w:rPr>
        <w:t>S</w:t>
      </w:r>
      <w:r w:rsidRPr="00847A48">
        <w:rPr>
          <w:b/>
          <w:bCs/>
          <w:color w:val="000000" w:themeColor="text1"/>
          <w:sz w:val="20"/>
          <w:szCs w:val="20"/>
        </w:rPr>
        <w:t xml:space="preserve">1. </w:t>
      </w:r>
      <w:r>
        <w:rPr>
          <w:b/>
          <w:color w:val="000000" w:themeColor="text1"/>
          <w:sz w:val="20"/>
          <w:szCs w:val="20"/>
        </w:rPr>
        <w:t xml:space="preserve">Exposure and outcome </w:t>
      </w:r>
      <w:r w:rsidRPr="004570AA">
        <w:rPr>
          <w:b/>
          <w:bCs/>
          <w:color w:val="000000" w:themeColor="text1"/>
          <w:sz w:val="20"/>
          <w:szCs w:val="20"/>
        </w:rPr>
        <w:t>trait genetic summary data sources</w:t>
      </w:r>
    </w:p>
    <w:p w14:paraId="3D1B20A5" w14:textId="77777777" w:rsidR="008F7144" w:rsidRDefault="008F7144" w:rsidP="008F7144">
      <w:pPr>
        <w:rPr>
          <w:b/>
          <w:bCs/>
          <w:color w:val="000000" w:themeColor="text1"/>
          <w:sz w:val="20"/>
          <w:szCs w:val="20"/>
        </w:rPr>
      </w:pPr>
    </w:p>
    <w:tbl>
      <w:tblPr>
        <w:tblStyle w:val="GridTable1Light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1417"/>
        <w:gridCol w:w="803"/>
        <w:gridCol w:w="990"/>
        <w:gridCol w:w="2318"/>
        <w:gridCol w:w="1927"/>
      </w:tblGrid>
      <w:tr w:rsidR="008F7144" w:rsidRPr="00D82FA6" w14:paraId="5CB5DB3D" w14:textId="77777777" w:rsidTr="001470B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54C02E16" w14:textId="77777777" w:rsidR="008F7144" w:rsidRPr="00BB4E90" w:rsidRDefault="008F7144" w:rsidP="00D56C00">
            <w:pPr>
              <w:jc w:val="center"/>
              <w:rPr>
                <w:color w:val="000000"/>
                <w:sz w:val="13"/>
                <w:szCs w:val="13"/>
              </w:rPr>
            </w:pPr>
            <w:r w:rsidRPr="00BB4E90">
              <w:rPr>
                <w:color w:val="000000"/>
                <w:sz w:val="13"/>
                <w:szCs w:val="13"/>
              </w:rPr>
              <w:t>Trait</w:t>
            </w:r>
          </w:p>
        </w:tc>
        <w:tc>
          <w:tcPr>
            <w:tcW w:w="1417" w:type="dxa"/>
            <w:vAlign w:val="center"/>
            <w:hideMark/>
          </w:tcPr>
          <w:p w14:paraId="6BB4DB28" w14:textId="77777777" w:rsidR="008F7144" w:rsidRPr="00BB4E90" w:rsidRDefault="008F7144" w:rsidP="00D56C0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3"/>
                <w:szCs w:val="13"/>
              </w:rPr>
            </w:pPr>
            <w:r w:rsidRPr="00BB4E90">
              <w:rPr>
                <w:color w:val="000000"/>
                <w:sz w:val="13"/>
                <w:szCs w:val="13"/>
              </w:rPr>
              <w:t>Abbreviation</w:t>
            </w:r>
          </w:p>
        </w:tc>
        <w:tc>
          <w:tcPr>
            <w:tcW w:w="803" w:type="dxa"/>
            <w:noWrap/>
            <w:vAlign w:val="center"/>
            <w:hideMark/>
          </w:tcPr>
          <w:p w14:paraId="14486D38" w14:textId="77777777" w:rsidR="008F7144" w:rsidRPr="00BB4E90" w:rsidRDefault="008F7144" w:rsidP="00D56C0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3"/>
                <w:szCs w:val="13"/>
              </w:rPr>
            </w:pPr>
            <w:r w:rsidRPr="00BB4E90">
              <w:rPr>
                <w:color w:val="000000"/>
                <w:sz w:val="13"/>
                <w:szCs w:val="13"/>
              </w:rPr>
              <w:t xml:space="preserve">Ancestry </w:t>
            </w:r>
          </w:p>
        </w:tc>
        <w:tc>
          <w:tcPr>
            <w:tcW w:w="990" w:type="dxa"/>
            <w:vAlign w:val="center"/>
            <w:hideMark/>
          </w:tcPr>
          <w:p w14:paraId="3992AF2C" w14:textId="77777777" w:rsidR="008F7144" w:rsidRPr="00BB4E90" w:rsidRDefault="008F7144" w:rsidP="00D56C0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3"/>
                <w:szCs w:val="13"/>
              </w:rPr>
            </w:pPr>
            <w:r w:rsidRPr="00BB4E90">
              <w:rPr>
                <w:color w:val="000000"/>
                <w:sz w:val="13"/>
                <w:szCs w:val="13"/>
              </w:rPr>
              <w:t>N</w:t>
            </w:r>
            <w:r>
              <w:rPr>
                <w:color w:val="000000"/>
                <w:sz w:val="13"/>
                <w:szCs w:val="13"/>
              </w:rPr>
              <w:t xml:space="preserve"> </w:t>
            </w:r>
            <w:r w:rsidRPr="00BB4E90">
              <w:rPr>
                <w:color w:val="000000"/>
                <w:sz w:val="13"/>
                <w:szCs w:val="13"/>
              </w:rPr>
              <w:t>(N</w:t>
            </w:r>
            <w:r w:rsidRPr="008211DA">
              <w:rPr>
                <w:color w:val="000000"/>
                <w:sz w:val="13"/>
                <w:szCs w:val="13"/>
                <w:vertAlign w:val="subscript"/>
              </w:rPr>
              <w:t>cases</w:t>
            </w:r>
            <w:r w:rsidRPr="00BB4E90">
              <w:rPr>
                <w:color w:val="000000"/>
                <w:sz w:val="13"/>
                <w:szCs w:val="13"/>
              </w:rPr>
              <w:t>/N</w:t>
            </w:r>
            <w:r w:rsidRPr="008211DA">
              <w:rPr>
                <w:color w:val="000000"/>
                <w:sz w:val="13"/>
                <w:szCs w:val="13"/>
                <w:vertAlign w:val="subscript"/>
              </w:rPr>
              <w:t>controls</w:t>
            </w:r>
            <w:r w:rsidRPr="00BB4E90">
              <w:rPr>
                <w:color w:val="000000"/>
                <w:sz w:val="13"/>
                <w:szCs w:val="13"/>
              </w:rPr>
              <w:t>)</w:t>
            </w:r>
          </w:p>
        </w:tc>
        <w:tc>
          <w:tcPr>
            <w:tcW w:w="2318" w:type="dxa"/>
            <w:vAlign w:val="center"/>
            <w:hideMark/>
          </w:tcPr>
          <w:p w14:paraId="4B56FCCE" w14:textId="77777777" w:rsidR="008F7144" w:rsidRPr="00A60A63" w:rsidRDefault="008F7144" w:rsidP="00D56C0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3"/>
                <w:szCs w:val="13"/>
              </w:rPr>
            </w:pPr>
            <w:r w:rsidRPr="00BB4E90">
              <w:rPr>
                <w:color w:val="000000"/>
                <w:sz w:val="13"/>
                <w:szCs w:val="13"/>
              </w:rPr>
              <w:t>Publication</w:t>
            </w:r>
            <w:r>
              <w:rPr>
                <w:color w:val="000000"/>
                <w:sz w:val="13"/>
                <w:szCs w:val="13"/>
              </w:rPr>
              <w:t xml:space="preserve"> (source)</w:t>
            </w:r>
          </w:p>
        </w:tc>
        <w:tc>
          <w:tcPr>
            <w:tcW w:w="1927" w:type="dxa"/>
            <w:noWrap/>
            <w:vAlign w:val="center"/>
            <w:hideMark/>
          </w:tcPr>
          <w:p w14:paraId="632D5229" w14:textId="77777777" w:rsidR="008F7144" w:rsidRPr="00BB4E90" w:rsidRDefault="008F7144" w:rsidP="00D56C0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3"/>
                <w:szCs w:val="13"/>
              </w:rPr>
            </w:pPr>
            <w:r w:rsidRPr="00BB4E90">
              <w:rPr>
                <w:color w:val="000000"/>
                <w:sz w:val="13"/>
                <w:szCs w:val="13"/>
              </w:rPr>
              <w:t>URLs</w:t>
            </w:r>
          </w:p>
        </w:tc>
      </w:tr>
      <w:tr w:rsidR="008F7144" w:rsidRPr="00D82FA6" w14:paraId="73EE60B4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47A8A606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Healthspan</w:t>
            </w:r>
          </w:p>
        </w:tc>
        <w:tc>
          <w:tcPr>
            <w:tcW w:w="1417" w:type="dxa"/>
            <w:noWrap/>
            <w:vAlign w:val="center"/>
            <w:hideMark/>
          </w:tcPr>
          <w:p w14:paraId="2BF61F7B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Healthspan</w:t>
            </w:r>
          </w:p>
        </w:tc>
        <w:tc>
          <w:tcPr>
            <w:tcW w:w="803" w:type="dxa"/>
            <w:noWrap/>
            <w:vAlign w:val="center"/>
            <w:hideMark/>
          </w:tcPr>
          <w:p w14:paraId="1C22695C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European</w:t>
            </w:r>
          </w:p>
        </w:tc>
        <w:tc>
          <w:tcPr>
            <w:tcW w:w="990" w:type="dxa"/>
            <w:noWrap/>
            <w:vAlign w:val="center"/>
            <w:hideMark/>
          </w:tcPr>
          <w:p w14:paraId="6F30A052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300,447</w:t>
            </w:r>
          </w:p>
        </w:tc>
        <w:tc>
          <w:tcPr>
            <w:tcW w:w="2318" w:type="dxa"/>
            <w:noWrap/>
            <w:vAlign w:val="center"/>
            <w:hideMark/>
          </w:tcPr>
          <w:p w14:paraId="378368F1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 xml:space="preserve">Zenin 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>et al.</w:t>
            </w:r>
            <w:r w:rsidRPr="00DB571F">
              <w:rPr>
                <w:color w:val="000000"/>
                <w:sz w:val="11"/>
                <w:szCs w:val="11"/>
              </w:rPr>
              <w:t xml:space="preserve"> 2019 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>Communications biology</w:t>
            </w:r>
          </w:p>
        </w:tc>
        <w:tc>
          <w:tcPr>
            <w:tcW w:w="1927" w:type="dxa"/>
            <w:noWrap/>
            <w:vAlign w:val="center"/>
            <w:hideMark/>
          </w:tcPr>
          <w:p w14:paraId="475DC8D5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https://zenodo.org/record/1302861/files/healthspan_summary.csv.gz?download=1</w:t>
            </w:r>
          </w:p>
        </w:tc>
      </w:tr>
      <w:tr w:rsidR="008F7144" w:rsidRPr="00D82FA6" w14:paraId="555FDFBF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1B00C49E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Lifespan</w:t>
            </w:r>
          </w:p>
        </w:tc>
        <w:tc>
          <w:tcPr>
            <w:tcW w:w="1417" w:type="dxa"/>
            <w:noWrap/>
            <w:vAlign w:val="center"/>
            <w:hideMark/>
          </w:tcPr>
          <w:p w14:paraId="0783922E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Lifespan</w:t>
            </w:r>
          </w:p>
        </w:tc>
        <w:tc>
          <w:tcPr>
            <w:tcW w:w="803" w:type="dxa"/>
            <w:noWrap/>
            <w:vAlign w:val="center"/>
            <w:hideMark/>
          </w:tcPr>
          <w:p w14:paraId="5D8BABB3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European</w:t>
            </w:r>
          </w:p>
        </w:tc>
        <w:tc>
          <w:tcPr>
            <w:tcW w:w="990" w:type="dxa"/>
            <w:noWrap/>
            <w:vAlign w:val="center"/>
            <w:hideMark/>
          </w:tcPr>
          <w:p w14:paraId="5246ECAF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1,012,240</w:t>
            </w:r>
          </w:p>
        </w:tc>
        <w:tc>
          <w:tcPr>
            <w:tcW w:w="2318" w:type="dxa"/>
            <w:noWrap/>
            <w:vAlign w:val="center"/>
            <w:hideMark/>
          </w:tcPr>
          <w:p w14:paraId="05F2DCAE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 xml:space="preserve">Timmers 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 xml:space="preserve">et al. </w:t>
            </w:r>
            <w:r w:rsidRPr="00DB571F">
              <w:rPr>
                <w:color w:val="000000"/>
                <w:sz w:val="11"/>
                <w:szCs w:val="11"/>
              </w:rPr>
              <w:t>2019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 xml:space="preserve"> Elife</w:t>
            </w:r>
            <w:r w:rsidRPr="00DB571F">
              <w:rPr>
                <w:color w:val="000000"/>
                <w:sz w:val="11"/>
                <w:szCs w:val="11"/>
              </w:rPr>
              <w:t xml:space="preserve"> </w:t>
            </w:r>
          </w:p>
        </w:tc>
        <w:tc>
          <w:tcPr>
            <w:tcW w:w="1927" w:type="dxa"/>
            <w:noWrap/>
            <w:vAlign w:val="center"/>
            <w:hideMark/>
          </w:tcPr>
          <w:p w14:paraId="5108B04A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https://datashare.is.ed.ac.uk/bitstream/handle/10283/3209/lifegen_phase2_bothpl_alldr_2017_09_18.tsv.gz?sequence=1&amp;isAllowed=y</w:t>
            </w:r>
          </w:p>
        </w:tc>
      </w:tr>
      <w:tr w:rsidR="008F7144" w:rsidRPr="00D82FA6" w14:paraId="1EDAEB95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5A178C8F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Longevity (age &gt;90th survival percentile)</w:t>
            </w:r>
          </w:p>
        </w:tc>
        <w:tc>
          <w:tcPr>
            <w:tcW w:w="1417" w:type="dxa"/>
            <w:noWrap/>
            <w:vAlign w:val="center"/>
            <w:hideMark/>
          </w:tcPr>
          <w:p w14:paraId="5478328C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Longevity</w:t>
            </w:r>
          </w:p>
        </w:tc>
        <w:tc>
          <w:tcPr>
            <w:tcW w:w="803" w:type="dxa"/>
            <w:noWrap/>
            <w:vAlign w:val="center"/>
            <w:hideMark/>
          </w:tcPr>
          <w:p w14:paraId="22381494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European</w:t>
            </w:r>
          </w:p>
        </w:tc>
        <w:tc>
          <w:tcPr>
            <w:tcW w:w="990" w:type="dxa"/>
            <w:noWrap/>
            <w:vAlign w:val="center"/>
            <w:hideMark/>
          </w:tcPr>
          <w:p w14:paraId="5C7A44EF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11,262/25,483</w:t>
            </w:r>
          </w:p>
        </w:tc>
        <w:tc>
          <w:tcPr>
            <w:tcW w:w="2318" w:type="dxa"/>
            <w:noWrap/>
            <w:vAlign w:val="center"/>
            <w:hideMark/>
          </w:tcPr>
          <w:p w14:paraId="59B3767D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 xml:space="preserve">Deelen 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>et al.</w:t>
            </w:r>
            <w:r w:rsidRPr="00DB571F">
              <w:rPr>
                <w:color w:val="000000"/>
                <w:sz w:val="11"/>
                <w:szCs w:val="11"/>
              </w:rPr>
              <w:t xml:space="preserve"> 2019 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>Nature Communications</w:t>
            </w:r>
          </w:p>
        </w:tc>
        <w:tc>
          <w:tcPr>
            <w:tcW w:w="1927" w:type="dxa"/>
            <w:noWrap/>
            <w:vAlign w:val="center"/>
            <w:hideMark/>
          </w:tcPr>
          <w:p w14:paraId="54D5884E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https://www.longevitygenomics.org/downloads</w:t>
            </w:r>
          </w:p>
        </w:tc>
      </w:tr>
      <w:tr w:rsidR="008F7144" w:rsidRPr="00D82FA6" w14:paraId="70BE7CDD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4F8C8566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Meta-analysis of Healthspan, Lifespan and Longevity</w:t>
            </w:r>
          </w:p>
        </w:tc>
        <w:tc>
          <w:tcPr>
            <w:tcW w:w="1417" w:type="dxa"/>
            <w:noWrap/>
            <w:vAlign w:val="center"/>
            <w:hideMark/>
          </w:tcPr>
          <w:p w14:paraId="5CE684D3" w14:textId="031EA140" w:rsidR="008F7144" w:rsidRPr="00DB571F" w:rsidRDefault="00BB6CC5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>
              <w:rPr>
                <w:color w:val="000000"/>
                <w:sz w:val="11"/>
                <w:szCs w:val="11"/>
              </w:rPr>
              <w:t>Healthy aging</w:t>
            </w:r>
          </w:p>
        </w:tc>
        <w:tc>
          <w:tcPr>
            <w:tcW w:w="803" w:type="dxa"/>
            <w:noWrap/>
            <w:vAlign w:val="center"/>
            <w:hideMark/>
          </w:tcPr>
          <w:p w14:paraId="12828CA4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European</w:t>
            </w:r>
          </w:p>
        </w:tc>
        <w:tc>
          <w:tcPr>
            <w:tcW w:w="990" w:type="dxa"/>
            <w:noWrap/>
            <w:vAlign w:val="center"/>
            <w:hideMark/>
          </w:tcPr>
          <w:p w14:paraId="355A17F7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/</w:t>
            </w:r>
          </w:p>
        </w:tc>
        <w:tc>
          <w:tcPr>
            <w:tcW w:w="2318" w:type="dxa"/>
            <w:noWrap/>
            <w:vAlign w:val="center"/>
            <w:hideMark/>
          </w:tcPr>
          <w:p w14:paraId="5C5634E6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Timmers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 xml:space="preserve"> et al.</w:t>
            </w:r>
            <w:r w:rsidRPr="00DB571F">
              <w:rPr>
                <w:color w:val="000000"/>
                <w:sz w:val="11"/>
                <w:szCs w:val="11"/>
              </w:rPr>
              <w:t xml:space="preserve"> 2020 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>Nature Communications</w:t>
            </w:r>
          </w:p>
        </w:tc>
        <w:tc>
          <w:tcPr>
            <w:tcW w:w="1927" w:type="dxa"/>
            <w:noWrap/>
            <w:vAlign w:val="center"/>
            <w:hideMark/>
          </w:tcPr>
          <w:p w14:paraId="7238310C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https://datashare.is.ed.ac.uk/bitstream/handle/10283/3599/timmers2020_healthspan_lifespan_longevity.</w:t>
            </w:r>
            <w:r w:rsidRPr="00491E8B">
              <w:rPr>
                <w:color w:val="000000"/>
                <w:sz w:val="10"/>
                <w:szCs w:val="10"/>
              </w:rPr>
              <w:br/>
              <w:t>tsv.gz?sequence=2&amp;isAllowed=y</w:t>
            </w:r>
          </w:p>
        </w:tc>
      </w:tr>
      <w:tr w:rsidR="008F7144" w:rsidRPr="00D82FA6" w14:paraId="458163FB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vAlign w:val="center"/>
            <w:hideMark/>
          </w:tcPr>
          <w:p w14:paraId="56C90C84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Alzheimer's Disease</w:t>
            </w:r>
            <w:r w:rsidRPr="00DB571F">
              <w:rPr>
                <w:color w:val="000000"/>
                <w:sz w:val="11"/>
                <w:szCs w:val="11"/>
              </w:rPr>
              <w:br/>
              <w:t>(late-onset AD)</w:t>
            </w:r>
          </w:p>
        </w:tc>
        <w:tc>
          <w:tcPr>
            <w:tcW w:w="1417" w:type="dxa"/>
            <w:noWrap/>
            <w:vAlign w:val="center"/>
            <w:hideMark/>
          </w:tcPr>
          <w:p w14:paraId="79F202E2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AD</w:t>
            </w:r>
          </w:p>
        </w:tc>
        <w:tc>
          <w:tcPr>
            <w:tcW w:w="803" w:type="dxa"/>
            <w:noWrap/>
            <w:vAlign w:val="center"/>
            <w:hideMark/>
          </w:tcPr>
          <w:p w14:paraId="54659D9F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European</w:t>
            </w:r>
          </w:p>
        </w:tc>
        <w:tc>
          <w:tcPr>
            <w:tcW w:w="990" w:type="dxa"/>
            <w:noWrap/>
            <w:vAlign w:val="center"/>
            <w:hideMark/>
          </w:tcPr>
          <w:p w14:paraId="595CD0F9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 xml:space="preserve">35,274/59,163 </w:t>
            </w:r>
          </w:p>
        </w:tc>
        <w:tc>
          <w:tcPr>
            <w:tcW w:w="2318" w:type="dxa"/>
            <w:noWrap/>
            <w:vAlign w:val="center"/>
            <w:hideMark/>
          </w:tcPr>
          <w:p w14:paraId="58C9D618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 xml:space="preserve">Kunkle 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>et al.</w:t>
            </w:r>
            <w:r w:rsidRPr="00DB571F">
              <w:rPr>
                <w:color w:val="000000"/>
                <w:sz w:val="11"/>
                <w:szCs w:val="11"/>
              </w:rPr>
              <w:t xml:space="preserve"> 2019 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>Nature Genetics</w:t>
            </w:r>
          </w:p>
        </w:tc>
        <w:tc>
          <w:tcPr>
            <w:tcW w:w="1927" w:type="dxa"/>
            <w:noWrap/>
            <w:vAlign w:val="center"/>
            <w:hideMark/>
          </w:tcPr>
          <w:p w14:paraId="5227374D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https://www.niagads.org/igap-rv-summary-stats-kunkle-p-value-data</w:t>
            </w:r>
          </w:p>
        </w:tc>
      </w:tr>
      <w:tr w:rsidR="008F7144" w:rsidRPr="00D82FA6" w14:paraId="70551070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vAlign w:val="center"/>
            <w:hideMark/>
          </w:tcPr>
          <w:p w14:paraId="0FE57A50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Coronary Artery Disease</w:t>
            </w:r>
            <w:r w:rsidRPr="00DB571F">
              <w:rPr>
                <w:color w:val="000000"/>
                <w:sz w:val="11"/>
                <w:szCs w:val="11"/>
              </w:rPr>
              <w:br/>
            </w:r>
          </w:p>
        </w:tc>
        <w:tc>
          <w:tcPr>
            <w:tcW w:w="1417" w:type="dxa"/>
            <w:noWrap/>
            <w:vAlign w:val="center"/>
            <w:hideMark/>
          </w:tcPr>
          <w:p w14:paraId="719218A4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CAD</w:t>
            </w:r>
          </w:p>
        </w:tc>
        <w:tc>
          <w:tcPr>
            <w:tcW w:w="803" w:type="dxa"/>
            <w:noWrap/>
            <w:vAlign w:val="center"/>
            <w:hideMark/>
          </w:tcPr>
          <w:p w14:paraId="0CC833A8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European</w:t>
            </w:r>
          </w:p>
        </w:tc>
        <w:tc>
          <w:tcPr>
            <w:tcW w:w="990" w:type="dxa"/>
            <w:noWrap/>
            <w:vAlign w:val="center"/>
            <w:hideMark/>
          </w:tcPr>
          <w:p w14:paraId="7772730B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10,801/137,371</w:t>
            </w:r>
          </w:p>
        </w:tc>
        <w:tc>
          <w:tcPr>
            <w:tcW w:w="2318" w:type="dxa"/>
            <w:noWrap/>
            <w:vAlign w:val="center"/>
            <w:hideMark/>
          </w:tcPr>
          <w:p w14:paraId="7CB463FB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 xml:space="preserve">Nelson 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>et al.</w:t>
            </w:r>
            <w:r w:rsidRPr="00DB571F">
              <w:rPr>
                <w:color w:val="000000"/>
                <w:sz w:val="11"/>
                <w:szCs w:val="11"/>
              </w:rPr>
              <w:t xml:space="preserve"> 2017 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 xml:space="preserve">Nature genetics </w:t>
            </w:r>
          </w:p>
        </w:tc>
        <w:tc>
          <w:tcPr>
            <w:tcW w:w="1927" w:type="dxa"/>
            <w:noWrap/>
            <w:vAlign w:val="center"/>
            <w:hideMark/>
          </w:tcPr>
          <w:p w14:paraId="2F6C7F1C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http://www.cardiogramplusc4d.org/media/cardiogramplusc4d-consortium/data-downloads/</w:t>
            </w:r>
            <w:r w:rsidRPr="00491E8B">
              <w:rPr>
                <w:color w:val="000000"/>
                <w:sz w:val="10"/>
                <w:szCs w:val="10"/>
              </w:rPr>
              <w:br/>
              <w:t>UKBB.GWAS1KG.EXOME.CAD.SOFT.META.PublicRelease.300517.txt.gz</w:t>
            </w:r>
          </w:p>
        </w:tc>
      </w:tr>
      <w:tr w:rsidR="008F7144" w:rsidRPr="00D82FA6" w14:paraId="46BFE2D7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0A648C88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Type 2 Diabetes</w:t>
            </w:r>
          </w:p>
        </w:tc>
        <w:tc>
          <w:tcPr>
            <w:tcW w:w="1417" w:type="dxa"/>
            <w:noWrap/>
            <w:vAlign w:val="center"/>
            <w:hideMark/>
          </w:tcPr>
          <w:p w14:paraId="4E6FE9FD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T2D</w:t>
            </w:r>
          </w:p>
        </w:tc>
        <w:tc>
          <w:tcPr>
            <w:tcW w:w="803" w:type="dxa"/>
            <w:noWrap/>
            <w:vAlign w:val="center"/>
            <w:hideMark/>
          </w:tcPr>
          <w:p w14:paraId="36706BAC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European</w:t>
            </w:r>
          </w:p>
        </w:tc>
        <w:tc>
          <w:tcPr>
            <w:tcW w:w="990" w:type="dxa"/>
            <w:noWrap/>
            <w:vAlign w:val="center"/>
            <w:hideMark/>
          </w:tcPr>
          <w:p w14:paraId="11DF7A62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 xml:space="preserve">62,892/596,424 </w:t>
            </w:r>
          </w:p>
        </w:tc>
        <w:tc>
          <w:tcPr>
            <w:tcW w:w="2318" w:type="dxa"/>
            <w:noWrap/>
            <w:vAlign w:val="center"/>
            <w:hideMark/>
          </w:tcPr>
          <w:p w14:paraId="4566AD5C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Xue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 xml:space="preserve"> et al.</w:t>
            </w:r>
            <w:r w:rsidRPr="00DB571F">
              <w:rPr>
                <w:color w:val="000000"/>
                <w:sz w:val="11"/>
                <w:szCs w:val="11"/>
              </w:rPr>
              <w:t xml:space="preserve"> 2018 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>Nature communications</w:t>
            </w:r>
          </w:p>
        </w:tc>
        <w:tc>
          <w:tcPr>
            <w:tcW w:w="1927" w:type="dxa"/>
            <w:noWrap/>
            <w:vAlign w:val="center"/>
            <w:hideMark/>
          </w:tcPr>
          <w:p w14:paraId="0F157F43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http://cnsgenomics.com/data.html</w:t>
            </w:r>
          </w:p>
        </w:tc>
      </w:tr>
      <w:tr w:rsidR="008F7144" w:rsidRPr="00D82FA6" w14:paraId="2D81AAAE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vAlign w:val="center"/>
            <w:hideMark/>
          </w:tcPr>
          <w:p w14:paraId="4A6E201B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number of cigarettes smoked per day</w:t>
            </w:r>
          </w:p>
        </w:tc>
        <w:tc>
          <w:tcPr>
            <w:tcW w:w="1417" w:type="dxa"/>
            <w:noWrap/>
            <w:vAlign w:val="center"/>
            <w:hideMark/>
          </w:tcPr>
          <w:p w14:paraId="7DD28904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Smoking</w:t>
            </w:r>
          </w:p>
        </w:tc>
        <w:tc>
          <w:tcPr>
            <w:tcW w:w="803" w:type="dxa"/>
            <w:noWrap/>
            <w:vAlign w:val="center"/>
            <w:hideMark/>
          </w:tcPr>
          <w:p w14:paraId="10DF5D29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 </w:t>
            </w:r>
          </w:p>
        </w:tc>
        <w:tc>
          <w:tcPr>
            <w:tcW w:w="990" w:type="dxa"/>
            <w:noWrap/>
            <w:vAlign w:val="center"/>
            <w:hideMark/>
          </w:tcPr>
          <w:p w14:paraId="6405A75D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337,334</w:t>
            </w:r>
          </w:p>
        </w:tc>
        <w:tc>
          <w:tcPr>
            <w:tcW w:w="2318" w:type="dxa"/>
            <w:noWrap/>
            <w:vAlign w:val="center"/>
            <w:hideMark/>
          </w:tcPr>
          <w:p w14:paraId="47F280D6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 xml:space="preserve">Liu 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>et al.</w:t>
            </w:r>
            <w:r w:rsidRPr="00DB571F">
              <w:rPr>
                <w:color w:val="000000"/>
                <w:sz w:val="11"/>
                <w:szCs w:val="11"/>
              </w:rPr>
              <w:t xml:space="preserve"> 2019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 xml:space="preserve"> Nature genetics</w:t>
            </w:r>
          </w:p>
        </w:tc>
        <w:tc>
          <w:tcPr>
            <w:tcW w:w="1927" w:type="dxa"/>
            <w:noWrap/>
            <w:vAlign w:val="center"/>
            <w:hideMark/>
          </w:tcPr>
          <w:p w14:paraId="3D457AB8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https://conservancy.umn.edu/bitstream/handle/11299/201564/CigarettesPerDay.txt.gz?sequence=31&amp;isAllowed=y</w:t>
            </w:r>
          </w:p>
        </w:tc>
      </w:tr>
      <w:tr w:rsidR="008F7144" w:rsidRPr="00D82FA6" w14:paraId="3493784B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627D93C6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Hannum age</w:t>
            </w:r>
          </w:p>
        </w:tc>
        <w:tc>
          <w:tcPr>
            <w:tcW w:w="1417" w:type="dxa"/>
            <w:noWrap/>
            <w:vAlign w:val="center"/>
            <w:hideMark/>
          </w:tcPr>
          <w:p w14:paraId="069B0679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Hannum_accel</w:t>
            </w:r>
          </w:p>
        </w:tc>
        <w:tc>
          <w:tcPr>
            <w:tcW w:w="803" w:type="dxa"/>
            <w:vMerge w:val="restart"/>
            <w:noWrap/>
            <w:vAlign w:val="center"/>
            <w:hideMark/>
          </w:tcPr>
          <w:p w14:paraId="045406E2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European</w:t>
            </w:r>
          </w:p>
        </w:tc>
        <w:tc>
          <w:tcPr>
            <w:tcW w:w="990" w:type="dxa"/>
            <w:vMerge w:val="restart"/>
            <w:noWrap/>
            <w:vAlign w:val="center"/>
            <w:hideMark/>
          </w:tcPr>
          <w:p w14:paraId="2698C50D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34,449</w:t>
            </w:r>
          </w:p>
        </w:tc>
        <w:tc>
          <w:tcPr>
            <w:tcW w:w="2318" w:type="dxa"/>
            <w:vMerge w:val="restart"/>
            <w:noWrap/>
            <w:vAlign w:val="center"/>
            <w:hideMark/>
          </w:tcPr>
          <w:p w14:paraId="4DCC38FF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 xml:space="preserve">McCartney 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 xml:space="preserve">et al. </w:t>
            </w:r>
            <w:r w:rsidRPr="00DB571F">
              <w:rPr>
                <w:color w:val="000000"/>
                <w:sz w:val="11"/>
                <w:szCs w:val="11"/>
              </w:rPr>
              <w:t xml:space="preserve">2020 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>BioRxiv</w:t>
            </w:r>
          </w:p>
        </w:tc>
        <w:tc>
          <w:tcPr>
            <w:tcW w:w="1927" w:type="dxa"/>
            <w:vMerge w:val="restart"/>
            <w:noWrap/>
            <w:vAlign w:val="center"/>
            <w:hideMark/>
          </w:tcPr>
          <w:p w14:paraId="2EB36E19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https://datashare.is.ed.ac.uk/handle/10283/3645</w:t>
            </w:r>
          </w:p>
        </w:tc>
      </w:tr>
      <w:tr w:rsidR="008F7144" w:rsidRPr="00D82FA6" w14:paraId="68A7BBFC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187AAC77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Horvath age</w:t>
            </w:r>
          </w:p>
        </w:tc>
        <w:tc>
          <w:tcPr>
            <w:tcW w:w="1417" w:type="dxa"/>
            <w:noWrap/>
            <w:vAlign w:val="center"/>
            <w:hideMark/>
          </w:tcPr>
          <w:p w14:paraId="35371531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Horvath_accel</w:t>
            </w:r>
          </w:p>
        </w:tc>
        <w:tc>
          <w:tcPr>
            <w:tcW w:w="803" w:type="dxa"/>
            <w:vMerge/>
            <w:vAlign w:val="center"/>
            <w:hideMark/>
          </w:tcPr>
          <w:p w14:paraId="1D34C8FA" w14:textId="77777777" w:rsidR="008F7144" w:rsidRPr="00DB571F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</w:p>
        </w:tc>
        <w:tc>
          <w:tcPr>
            <w:tcW w:w="990" w:type="dxa"/>
            <w:vMerge/>
            <w:vAlign w:val="center"/>
            <w:hideMark/>
          </w:tcPr>
          <w:p w14:paraId="0D0EDFF0" w14:textId="77777777" w:rsidR="008F7144" w:rsidRPr="00DB571F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</w:p>
        </w:tc>
        <w:tc>
          <w:tcPr>
            <w:tcW w:w="2318" w:type="dxa"/>
            <w:vMerge/>
            <w:vAlign w:val="center"/>
            <w:hideMark/>
          </w:tcPr>
          <w:p w14:paraId="0EB1A7BF" w14:textId="77777777" w:rsidR="008F7144" w:rsidRPr="00DB571F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</w:p>
        </w:tc>
        <w:tc>
          <w:tcPr>
            <w:tcW w:w="1927" w:type="dxa"/>
            <w:vMerge/>
            <w:vAlign w:val="center"/>
            <w:hideMark/>
          </w:tcPr>
          <w:p w14:paraId="507D0EA5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</w:p>
        </w:tc>
      </w:tr>
      <w:tr w:rsidR="008F7144" w:rsidRPr="00D82FA6" w14:paraId="58F6F720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05E3AFE8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PhenoAge</w:t>
            </w:r>
          </w:p>
        </w:tc>
        <w:tc>
          <w:tcPr>
            <w:tcW w:w="1417" w:type="dxa"/>
            <w:noWrap/>
            <w:vAlign w:val="center"/>
            <w:hideMark/>
          </w:tcPr>
          <w:p w14:paraId="0AE00657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PhenoAge_accel</w:t>
            </w:r>
          </w:p>
        </w:tc>
        <w:tc>
          <w:tcPr>
            <w:tcW w:w="803" w:type="dxa"/>
            <w:vMerge/>
            <w:vAlign w:val="center"/>
            <w:hideMark/>
          </w:tcPr>
          <w:p w14:paraId="4F5FEDC7" w14:textId="77777777" w:rsidR="008F7144" w:rsidRPr="00DB571F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</w:p>
        </w:tc>
        <w:tc>
          <w:tcPr>
            <w:tcW w:w="990" w:type="dxa"/>
            <w:vMerge/>
            <w:vAlign w:val="center"/>
            <w:hideMark/>
          </w:tcPr>
          <w:p w14:paraId="2E31D1A5" w14:textId="77777777" w:rsidR="008F7144" w:rsidRPr="00DB571F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</w:p>
        </w:tc>
        <w:tc>
          <w:tcPr>
            <w:tcW w:w="2318" w:type="dxa"/>
            <w:vMerge/>
            <w:vAlign w:val="center"/>
            <w:hideMark/>
          </w:tcPr>
          <w:p w14:paraId="4844856D" w14:textId="77777777" w:rsidR="008F7144" w:rsidRPr="00DB571F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</w:p>
        </w:tc>
        <w:tc>
          <w:tcPr>
            <w:tcW w:w="1927" w:type="dxa"/>
            <w:vMerge/>
            <w:vAlign w:val="center"/>
            <w:hideMark/>
          </w:tcPr>
          <w:p w14:paraId="07BF8250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</w:p>
        </w:tc>
      </w:tr>
      <w:tr w:rsidR="008F7144" w:rsidRPr="00D82FA6" w14:paraId="6824C591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15736C15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GrimAge</w:t>
            </w:r>
          </w:p>
        </w:tc>
        <w:tc>
          <w:tcPr>
            <w:tcW w:w="1417" w:type="dxa"/>
            <w:noWrap/>
            <w:vAlign w:val="center"/>
            <w:hideMark/>
          </w:tcPr>
          <w:p w14:paraId="080612DC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GrimAge_accel</w:t>
            </w:r>
          </w:p>
        </w:tc>
        <w:tc>
          <w:tcPr>
            <w:tcW w:w="803" w:type="dxa"/>
            <w:vMerge/>
            <w:vAlign w:val="center"/>
            <w:hideMark/>
          </w:tcPr>
          <w:p w14:paraId="6C0E425C" w14:textId="77777777" w:rsidR="008F7144" w:rsidRPr="00DB571F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</w:p>
        </w:tc>
        <w:tc>
          <w:tcPr>
            <w:tcW w:w="990" w:type="dxa"/>
            <w:vMerge/>
            <w:vAlign w:val="center"/>
            <w:hideMark/>
          </w:tcPr>
          <w:p w14:paraId="7A14A55A" w14:textId="77777777" w:rsidR="008F7144" w:rsidRPr="00DB571F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</w:p>
        </w:tc>
        <w:tc>
          <w:tcPr>
            <w:tcW w:w="2318" w:type="dxa"/>
            <w:vMerge/>
            <w:vAlign w:val="center"/>
            <w:hideMark/>
          </w:tcPr>
          <w:p w14:paraId="05185720" w14:textId="77777777" w:rsidR="008F7144" w:rsidRPr="00DB571F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</w:p>
        </w:tc>
        <w:tc>
          <w:tcPr>
            <w:tcW w:w="1927" w:type="dxa"/>
            <w:vMerge/>
            <w:vAlign w:val="center"/>
            <w:hideMark/>
          </w:tcPr>
          <w:p w14:paraId="11D3099F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</w:p>
        </w:tc>
      </w:tr>
      <w:tr w:rsidR="008F7144" w:rsidRPr="00D82FA6" w14:paraId="2A412182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65BC3D57" w14:textId="5FAD5A01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SARS-COV-2 infection</w:t>
            </w:r>
            <w:r w:rsidR="00DE3E2E">
              <w:rPr>
                <w:color w:val="000000"/>
                <w:sz w:val="11"/>
                <w:szCs w:val="11"/>
              </w:rPr>
              <w:t xml:space="preserve"> </w:t>
            </w:r>
            <w:r w:rsidR="00DE3E2E" w:rsidRPr="00DE3E2E">
              <w:rPr>
                <w:color w:val="000000"/>
                <w:sz w:val="11"/>
                <w:szCs w:val="11"/>
              </w:rPr>
              <w:t>Positive vs. Population</w:t>
            </w:r>
          </w:p>
        </w:tc>
        <w:tc>
          <w:tcPr>
            <w:tcW w:w="1417" w:type="dxa"/>
            <w:noWrap/>
            <w:vAlign w:val="center"/>
            <w:hideMark/>
          </w:tcPr>
          <w:p w14:paraId="018A2181" w14:textId="012BC264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UKBB_</w:t>
            </w:r>
            <w:r w:rsidR="006D6943">
              <w:rPr>
                <w:color w:val="000000"/>
                <w:sz w:val="11"/>
                <w:szCs w:val="11"/>
              </w:rPr>
              <w:t>c</w:t>
            </w:r>
            <w:r w:rsidRPr="00DB571F">
              <w:rPr>
                <w:color w:val="000000"/>
                <w:sz w:val="11"/>
                <w:szCs w:val="11"/>
              </w:rPr>
              <w:t>ovid</w:t>
            </w:r>
            <w:r w:rsidR="006D6943">
              <w:rPr>
                <w:color w:val="000000"/>
                <w:sz w:val="11"/>
                <w:szCs w:val="11"/>
              </w:rPr>
              <w:t>_vs_pop</w:t>
            </w:r>
          </w:p>
        </w:tc>
        <w:tc>
          <w:tcPr>
            <w:tcW w:w="803" w:type="dxa"/>
            <w:noWrap/>
            <w:vAlign w:val="center"/>
            <w:hideMark/>
          </w:tcPr>
          <w:p w14:paraId="2B33FEBF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European</w:t>
            </w:r>
          </w:p>
        </w:tc>
        <w:tc>
          <w:tcPr>
            <w:tcW w:w="990" w:type="dxa"/>
            <w:noWrap/>
            <w:vAlign w:val="center"/>
            <w:hideMark/>
          </w:tcPr>
          <w:p w14:paraId="04C0B7AA" w14:textId="354696B5" w:rsidR="008F7144" w:rsidRPr="00DB571F" w:rsidRDefault="006D6943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6D6943">
              <w:rPr>
                <w:color w:val="000000"/>
                <w:sz w:val="11"/>
                <w:szCs w:val="11"/>
              </w:rPr>
              <w:t>1,503 / 457,747</w:t>
            </w:r>
          </w:p>
        </w:tc>
        <w:tc>
          <w:tcPr>
            <w:tcW w:w="2318" w:type="dxa"/>
            <w:noWrap/>
            <w:vAlign w:val="center"/>
            <w:hideMark/>
          </w:tcPr>
          <w:p w14:paraId="70529E4E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Genome-Wide Repository of Associations Between SNPs and Phenotypes</w:t>
            </w:r>
          </w:p>
        </w:tc>
        <w:tc>
          <w:tcPr>
            <w:tcW w:w="1927" w:type="dxa"/>
            <w:noWrap/>
            <w:vAlign w:val="center"/>
            <w:hideMark/>
          </w:tcPr>
          <w:p w14:paraId="2C8FF89B" w14:textId="5264F371" w:rsidR="008F7144" w:rsidRPr="00491E8B" w:rsidRDefault="00920AB8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https://grasp.nhlbi.nih.gov/downloads/COVID19GWAS/08042020/UKBB_covid19_EUR_080420.txt.gz</w:t>
            </w:r>
          </w:p>
        </w:tc>
      </w:tr>
      <w:tr w:rsidR="00BD63E3" w:rsidRPr="00D82FA6" w14:paraId="2D5939FD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</w:tcPr>
          <w:p w14:paraId="28BDD1DF" w14:textId="75EC748A" w:rsidR="00BD63E3" w:rsidRPr="00DB571F" w:rsidRDefault="00BD63E3" w:rsidP="003D0A62">
            <w:pPr>
              <w:jc w:val="center"/>
              <w:rPr>
                <w:color w:val="000000"/>
                <w:sz w:val="11"/>
                <w:szCs w:val="11"/>
              </w:rPr>
            </w:pPr>
            <w:r w:rsidRPr="003D0A62">
              <w:rPr>
                <w:color w:val="000000"/>
                <w:sz w:val="11"/>
                <w:szCs w:val="11"/>
              </w:rPr>
              <w:t xml:space="preserve">SARS-COV-2 infection Positive vs. </w:t>
            </w:r>
            <w:r w:rsidR="004D26C2" w:rsidRPr="004D26C2">
              <w:rPr>
                <w:color w:val="000000"/>
                <w:sz w:val="11"/>
                <w:szCs w:val="11"/>
              </w:rPr>
              <w:t>Negative (tested)</w:t>
            </w:r>
          </w:p>
        </w:tc>
        <w:tc>
          <w:tcPr>
            <w:tcW w:w="1417" w:type="dxa"/>
            <w:noWrap/>
            <w:vAlign w:val="center"/>
          </w:tcPr>
          <w:p w14:paraId="1529281D" w14:textId="013B848C" w:rsidR="00BD63E3" w:rsidRPr="00DB571F" w:rsidRDefault="00BD63E3" w:rsidP="003D0A6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3D0A62">
              <w:rPr>
                <w:color w:val="000000"/>
                <w:sz w:val="11"/>
                <w:szCs w:val="11"/>
              </w:rPr>
              <w:t>UKBB_covid_vs_</w:t>
            </w:r>
            <w:r w:rsidR="004D26C2">
              <w:rPr>
                <w:color w:val="000000"/>
                <w:sz w:val="11"/>
                <w:szCs w:val="11"/>
              </w:rPr>
              <w:t>neg</w:t>
            </w:r>
          </w:p>
        </w:tc>
        <w:tc>
          <w:tcPr>
            <w:tcW w:w="803" w:type="dxa"/>
            <w:noWrap/>
            <w:vAlign w:val="center"/>
          </w:tcPr>
          <w:p w14:paraId="66F49AAD" w14:textId="273707B5" w:rsidR="00BD63E3" w:rsidRPr="00DB571F" w:rsidRDefault="00BD63E3" w:rsidP="003D0A6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3D0A62">
              <w:rPr>
                <w:color w:val="000000"/>
                <w:sz w:val="11"/>
                <w:szCs w:val="11"/>
              </w:rPr>
              <w:t>European</w:t>
            </w:r>
          </w:p>
        </w:tc>
        <w:tc>
          <w:tcPr>
            <w:tcW w:w="990" w:type="dxa"/>
            <w:noWrap/>
            <w:vAlign w:val="center"/>
          </w:tcPr>
          <w:p w14:paraId="50DEDD40" w14:textId="49AD8981" w:rsidR="00BD63E3" w:rsidRPr="00DB571F" w:rsidRDefault="004D26C2" w:rsidP="003D0A6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4D26C2">
              <w:rPr>
                <w:color w:val="000000"/>
                <w:sz w:val="11"/>
                <w:szCs w:val="11"/>
              </w:rPr>
              <w:t>1,503 / 10,632</w:t>
            </w:r>
          </w:p>
        </w:tc>
        <w:tc>
          <w:tcPr>
            <w:tcW w:w="2318" w:type="dxa"/>
            <w:noWrap/>
            <w:vAlign w:val="center"/>
          </w:tcPr>
          <w:p w14:paraId="10DACA80" w14:textId="0AD08EF7" w:rsidR="00BD63E3" w:rsidRPr="00DB571F" w:rsidRDefault="00BD63E3" w:rsidP="003D0A6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3D0A62">
              <w:rPr>
                <w:color w:val="000000"/>
                <w:sz w:val="11"/>
                <w:szCs w:val="11"/>
              </w:rPr>
              <w:t>Genome-Wide Repository of Associations Between SNPs and Phenotypes</w:t>
            </w:r>
          </w:p>
        </w:tc>
        <w:tc>
          <w:tcPr>
            <w:tcW w:w="1927" w:type="dxa"/>
            <w:noWrap/>
            <w:vAlign w:val="center"/>
          </w:tcPr>
          <w:p w14:paraId="349759B5" w14:textId="5B40D93D" w:rsidR="00BD63E3" w:rsidRPr="00491E8B" w:rsidRDefault="00491E8B" w:rsidP="003D0A6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https://grasp.nhlbi.nih.gov/downloads/COVID19GWAS/08042020/UKBB_covid19_EURtested_080420.txt.gz</w:t>
            </w:r>
          </w:p>
        </w:tc>
      </w:tr>
      <w:tr w:rsidR="008F7144" w:rsidRPr="00D82FA6" w14:paraId="627D0555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1FAF51D8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severe COVID-19 with respiratory failure</w:t>
            </w:r>
          </w:p>
        </w:tc>
        <w:tc>
          <w:tcPr>
            <w:tcW w:w="1417" w:type="dxa"/>
            <w:noWrap/>
            <w:vAlign w:val="center"/>
            <w:hideMark/>
          </w:tcPr>
          <w:p w14:paraId="23E3883D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Covid_resp_failure</w:t>
            </w:r>
          </w:p>
        </w:tc>
        <w:tc>
          <w:tcPr>
            <w:tcW w:w="803" w:type="dxa"/>
            <w:noWrap/>
            <w:vAlign w:val="center"/>
            <w:hideMark/>
          </w:tcPr>
          <w:p w14:paraId="6AEE4B8C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Italy, Spain</w:t>
            </w:r>
          </w:p>
        </w:tc>
        <w:tc>
          <w:tcPr>
            <w:tcW w:w="990" w:type="dxa"/>
            <w:noWrap/>
            <w:vAlign w:val="center"/>
            <w:hideMark/>
          </w:tcPr>
          <w:p w14:paraId="52D52D53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1,610/2,205</w:t>
            </w:r>
          </w:p>
        </w:tc>
        <w:tc>
          <w:tcPr>
            <w:tcW w:w="2318" w:type="dxa"/>
            <w:noWrap/>
            <w:vAlign w:val="center"/>
            <w:hideMark/>
          </w:tcPr>
          <w:p w14:paraId="57389F8B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 xml:space="preserve">Ellinghaus 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>et al.</w:t>
            </w:r>
            <w:r w:rsidRPr="00DB571F">
              <w:rPr>
                <w:color w:val="000000"/>
                <w:sz w:val="11"/>
                <w:szCs w:val="11"/>
              </w:rPr>
              <w:t xml:space="preserve"> 2020 </w:t>
            </w:r>
            <w:r w:rsidRPr="00DB571F">
              <w:rPr>
                <w:i/>
                <w:iCs/>
                <w:color w:val="000000"/>
                <w:sz w:val="11"/>
                <w:szCs w:val="11"/>
              </w:rPr>
              <w:t>New England Journal of Medicine</w:t>
            </w:r>
          </w:p>
        </w:tc>
        <w:tc>
          <w:tcPr>
            <w:tcW w:w="1927" w:type="dxa"/>
            <w:noWrap/>
            <w:vAlign w:val="center"/>
            <w:hideMark/>
          </w:tcPr>
          <w:p w14:paraId="324D81E5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www.c19-genetics.eu.</w:t>
            </w:r>
          </w:p>
        </w:tc>
      </w:tr>
      <w:tr w:rsidR="008F7144" w:rsidRPr="00D82FA6" w14:paraId="4818D433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7142713B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ANA2, Hospitalized vs. non-hospitalized</w:t>
            </w:r>
          </w:p>
        </w:tc>
        <w:tc>
          <w:tcPr>
            <w:tcW w:w="1417" w:type="dxa"/>
            <w:noWrap/>
            <w:vAlign w:val="center"/>
            <w:hideMark/>
          </w:tcPr>
          <w:p w14:paraId="1CFEDF18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HGI_covid_hospitalize</w:t>
            </w:r>
          </w:p>
        </w:tc>
        <w:tc>
          <w:tcPr>
            <w:tcW w:w="803" w:type="dxa"/>
            <w:vAlign w:val="center"/>
            <w:hideMark/>
          </w:tcPr>
          <w:p w14:paraId="78C15C87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 xml:space="preserve">EUR, </w:t>
            </w:r>
            <w:r w:rsidRPr="00DB571F">
              <w:rPr>
                <w:color w:val="000000"/>
                <w:sz w:val="11"/>
                <w:szCs w:val="11"/>
              </w:rPr>
              <w:br/>
              <w:t>FIN, SAS</w:t>
            </w:r>
          </w:p>
        </w:tc>
        <w:tc>
          <w:tcPr>
            <w:tcW w:w="990" w:type="dxa"/>
            <w:noWrap/>
            <w:vAlign w:val="center"/>
            <w:hideMark/>
          </w:tcPr>
          <w:p w14:paraId="2D07ABD1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716/616</w:t>
            </w:r>
          </w:p>
        </w:tc>
        <w:tc>
          <w:tcPr>
            <w:tcW w:w="2318" w:type="dxa"/>
            <w:noWrap/>
            <w:vAlign w:val="center"/>
            <w:hideMark/>
          </w:tcPr>
          <w:p w14:paraId="1A5745AC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The COVID-19 host genetics initiative</w:t>
            </w:r>
          </w:p>
        </w:tc>
        <w:tc>
          <w:tcPr>
            <w:tcW w:w="1927" w:type="dxa"/>
            <w:noWrap/>
            <w:vAlign w:val="center"/>
            <w:hideMark/>
          </w:tcPr>
          <w:p w14:paraId="21189BAC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https://storage.googleapis.com/covid19-hg-public/20200508/results/COVID19_HGI_ANA2_20200513.txt.gz</w:t>
            </w:r>
          </w:p>
        </w:tc>
      </w:tr>
      <w:tr w:rsidR="008F7144" w:rsidRPr="00D82FA6" w14:paraId="4CCCC8E2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7B9183A3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ANA5, susceptibility (affected vs. population)</w:t>
            </w:r>
          </w:p>
        </w:tc>
        <w:tc>
          <w:tcPr>
            <w:tcW w:w="1417" w:type="dxa"/>
            <w:noWrap/>
            <w:vAlign w:val="center"/>
            <w:hideMark/>
          </w:tcPr>
          <w:p w14:paraId="1873FFA0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HGI_covid_susceptibility</w:t>
            </w:r>
          </w:p>
        </w:tc>
        <w:tc>
          <w:tcPr>
            <w:tcW w:w="803" w:type="dxa"/>
            <w:vAlign w:val="center"/>
            <w:hideMark/>
          </w:tcPr>
          <w:p w14:paraId="352256E5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EUR, FIN, SAS,</w:t>
            </w:r>
            <w:r w:rsidRPr="00DB571F">
              <w:rPr>
                <w:color w:val="000000"/>
                <w:sz w:val="11"/>
                <w:szCs w:val="11"/>
              </w:rPr>
              <w:br/>
              <w:t>CEU, AFR</w:t>
            </w:r>
          </w:p>
        </w:tc>
        <w:tc>
          <w:tcPr>
            <w:tcW w:w="990" w:type="dxa"/>
            <w:noWrap/>
            <w:vAlign w:val="center"/>
            <w:hideMark/>
          </w:tcPr>
          <w:p w14:paraId="016C6AC2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1,678/674,635</w:t>
            </w:r>
          </w:p>
        </w:tc>
        <w:tc>
          <w:tcPr>
            <w:tcW w:w="2318" w:type="dxa"/>
            <w:noWrap/>
            <w:vAlign w:val="center"/>
            <w:hideMark/>
          </w:tcPr>
          <w:p w14:paraId="3748469B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The COVID-19 host genetics initiative</w:t>
            </w:r>
          </w:p>
        </w:tc>
        <w:tc>
          <w:tcPr>
            <w:tcW w:w="1927" w:type="dxa"/>
            <w:noWrap/>
            <w:vAlign w:val="center"/>
            <w:hideMark/>
          </w:tcPr>
          <w:p w14:paraId="6AC96FA4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https://storage.googleapis.com/covid19-hg-public/20200508/results/COVID19_HGI_ANA5_20200513.txt.gz</w:t>
            </w:r>
          </w:p>
        </w:tc>
      </w:tr>
      <w:tr w:rsidR="008F7144" w:rsidRPr="00D82FA6" w14:paraId="508B2F5D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67436BED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ANA7, COVID-19 predicted by flu-like symptoms</w:t>
            </w:r>
          </w:p>
        </w:tc>
        <w:tc>
          <w:tcPr>
            <w:tcW w:w="1417" w:type="dxa"/>
            <w:noWrap/>
            <w:vAlign w:val="center"/>
            <w:hideMark/>
          </w:tcPr>
          <w:p w14:paraId="20905D88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HGI_covid_flu_like_symp</w:t>
            </w:r>
          </w:p>
        </w:tc>
        <w:tc>
          <w:tcPr>
            <w:tcW w:w="803" w:type="dxa"/>
            <w:noWrap/>
            <w:vAlign w:val="center"/>
            <w:hideMark/>
          </w:tcPr>
          <w:p w14:paraId="5D60FC9A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EUR</w:t>
            </w:r>
          </w:p>
        </w:tc>
        <w:tc>
          <w:tcPr>
            <w:tcW w:w="990" w:type="dxa"/>
            <w:noWrap/>
            <w:vAlign w:val="center"/>
            <w:hideMark/>
          </w:tcPr>
          <w:p w14:paraId="6CC783BF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1294/26,969</w:t>
            </w:r>
          </w:p>
        </w:tc>
        <w:tc>
          <w:tcPr>
            <w:tcW w:w="2318" w:type="dxa"/>
            <w:noWrap/>
            <w:vAlign w:val="center"/>
            <w:hideMark/>
          </w:tcPr>
          <w:p w14:paraId="3D16347E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The COVID-19 host genetics initiative</w:t>
            </w:r>
          </w:p>
        </w:tc>
        <w:tc>
          <w:tcPr>
            <w:tcW w:w="1927" w:type="dxa"/>
            <w:noWrap/>
            <w:vAlign w:val="center"/>
            <w:hideMark/>
          </w:tcPr>
          <w:p w14:paraId="17E8943A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https://storage.googleapis.com/covid19-hg-public/20200508/results/COVID19_HGI_ANA7_20200513.txt.gz</w:t>
            </w:r>
          </w:p>
        </w:tc>
      </w:tr>
      <w:tr w:rsidR="008F7144" w:rsidRPr="00D82FA6" w14:paraId="4ABC7D2C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06A4E8C4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very severe respiratory confirmed covid vs. population</w:t>
            </w:r>
          </w:p>
        </w:tc>
        <w:tc>
          <w:tcPr>
            <w:tcW w:w="1417" w:type="dxa"/>
            <w:noWrap/>
            <w:vAlign w:val="center"/>
            <w:hideMark/>
          </w:tcPr>
          <w:p w14:paraId="7F8262D8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HGI_severe_resp_covid</w:t>
            </w:r>
          </w:p>
        </w:tc>
        <w:tc>
          <w:tcPr>
            <w:tcW w:w="803" w:type="dxa"/>
            <w:noWrap/>
            <w:vAlign w:val="center"/>
            <w:hideMark/>
          </w:tcPr>
          <w:p w14:paraId="4816E8C9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EUR, AMR</w:t>
            </w:r>
          </w:p>
        </w:tc>
        <w:tc>
          <w:tcPr>
            <w:tcW w:w="990" w:type="dxa"/>
            <w:noWrap/>
            <w:vAlign w:val="center"/>
            <w:hideMark/>
          </w:tcPr>
          <w:p w14:paraId="31ED4BA6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536/329,391</w:t>
            </w:r>
          </w:p>
        </w:tc>
        <w:tc>
          <w:tcPr>
            <w:tcW w:w="2318" w:type="dxa"/>
            <w:noWrap/>
            <w:vAlign w:val="center"/>
            <w:hideMark/>
          </w:tcPr>
          <w:p w14:paraId="777BF6F8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The COVID-19 host genetics initiative</w:t>
            </w:r>
          </w:p>
        </w:tc>
        <w:tc>
          <w:tcPr>
            <w:tcW w:w="1927" w:type="dxa"/>
            <w:noWrap/>
            <w:vAlign w:val="center"/>
            <w:hideMark/>
          </w:tcPr>
          <w:p w14:paraId="69BE75DD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https://storage.googleapis.com/covid19-hg-public/20200619/results/build_37/COVID19_HGI_ANA_A2_V2_20200701.b37.txt.gz</w:t>
            </w:r>
          </w:p>
        </w:tc>
      </w:tr>
      <w:tr w:rsidR="008F7144" w:rsidRPr="00D82FA6" w14:paraId="30AE1749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3C1ACB50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hospitalized covid vs. not hospitalized covid</w:t>
            </w:r>
          </w:p>
        </w:tc>
        <w:tc>
          <w:tcPr>
            <w:tcW w:w="1417" w:type="dxa"/>
            <w:noWrap/>
            <w:vAlign w:val="center"/>
            <w:hideMark/>
          </w:tcPr>
          <w:p w14:paraId="6AF69D18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HGI_hosp_vs_not_hosp_covid</w:t>
            </w:r>
          </w:p>
        </w:tc>
        <w:tc>
          <w:tcPr>
            <w:tcW w:w="803" w:type="dxa"/>
            <w:vAlign w:val="center"/>
            <w:hideMark/>
          </w:tcPr>
          <w:p w14:paraId="11F5842D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EUR, FIN</w:t>
            </w:r>
          </w:p>
        </w:tc>
        <w:tc>
          <w:tcPr>
            <w:tcW w:w="990" w:type="dxa"/>
            <w:noWrap/>
            <w:vAlign w:val="center"/>
            <w:hideMark/>
          </w:tcPr>
          <w:p w14:paraId="12DC7FE7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928/2,028</w:t>
            </w:r>
          </w:p>
        </w:tc>
        <w:tc>
          <w:tcPr>
            <w:tcW w:w="2318" w:type="dxa"/>
            <w:noWrap/>
            <w:vAlign w:val="center"/>
            <w:hideMark/>
          </w:tcPr>
          <w:p w14:paraId="30237452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The COVID-19 host genetics initiative</w:t>
            </w:r>
          </w:p>
        </w:tc>
        <w:tc>
          <w:tcPr>
            <w:tcW w:w="1927" w:type="dxa"/>
            <w:noWrap/>
            <w:vAlign w:val="center"/>
            <w:hideMark/>
          </w:tcPr>
          <w:p w14:paraId="5B32387E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https://storage.googleapis.com/covid19-hg-public/20200619/results/build_37/COVID19_HGI_ANA_B1_V2_20200701.b37.txt.gz</w:t>
            </w:r>
          </w:p>
        </w:tc>
      </w:tr>
      <w:tr w:rsidR="008F7144" w:rsidRPr="00D82FA6" w14:paraId="61C55584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21C0195F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hospitalized covid vs. population</w:t>
            </w:r>
          </w:p>
        </w:tc>
        <w:tc>
          <w:tcPr>
            <w:tcW w:w="1417" w:type="dxa"/>
            <w:noWrap/>
            <w:vAlign w:val="center"/>
            <w:hideMark/>
          </w:tcPr>
          <w:p w14:paraId="619A20C9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HGI_hosp_vs_pop</w:t>
            </w:r>
          </w:p>
        </w:tc>
        <w:tc>
          <w:tcPr>
            <w:tcW w:w="803" w:type="dxa"/>
            <w:vAlign w:val="center"/>
            <w:hideMark/>
          </w:tcPr>
          <w:p w14:paraId="70E89F99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 xml:space="preserve">EUR, AMR, </w:t>
            </w:r>
            <w:r w:rsidRPr="00DB571F">
              <w:rPr>
                <w:color w:val="000000"/>
                <w:sz w:val="11"/>
                <w:szCs w:val="11"/>
              </w:rPr>
              <w:br/>
              <w:t>SAS, FIN</w:t>
            </w:r>
          </w:p>
        </w:tc>
        <w:tc>
          <w:tcPr>
            <w:tcW w:w="990" w:type="dxa"/>
            <w:noWrap/>
            <w:vAlign w:val="center"/>
            <w:hideMark/>
          </w:tcPr>
          <w:p w14:paraId="273FB5F5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3,199/897,488</w:t>
            </w:r>
          </w:p>
        </w:tc>
        <w:tc>
          <w:tcPr>
            <w:tcW w:w="2318" w:type="dxa"/>
            <w:noWrap/>
            <w:vAlign w:val="center"/>
            <w:hideMark/>
          </w:tcPr>
          <w:p w14:paraId="523437C4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The COVID-19 host genetics initiative</w:t>
            </w:r>
          </w:p>
        </w:tc>
        <w:tc>
          <w:tcPr>
            <w:tcW w:w="1927" w:type="dxa"/>
            <w:noWrap/>
            <w:vAlign w:val="center"/>
            <w:hideMark/>
          </w:tcPr>
          <w:p w14:paraId="384C4A26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https://storage.googleapis.com/covid19-hg-public/20200619/results/build_37/COVID19_HGI_ANA_B2_V2_20200701.b37.txt.gz</w:t>
            </w:r>
          </w:p>
        </w:tc>
      </w:tr>
      <w:tr w:rsidR="008F7144" w:rsidRPr="00D82FA6" w14:paraId="1006FF98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6A6E8E41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covid vs. lab/self-reported negative</w:t>
            </w:r>
          </w:p>
        </w:tc>
        <w:tc>
          <w:tcPr>
            <w:tcW w:w="1417" w:type="dxa"/>
            <w:noWrap/>
            <w:vAlign w:val="center"/>
            <w:hideMark/>
          </w:tcPr>
          <w:p w14:paraId="2E5443A2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HGI_covid_vs_neg</w:t>
            </w:r>
          </w:p>
        </w:tc>
        <w:tc>
          <w:tcPr>
            <w:tcW w:w="803" w:type="dxa"/>
            <w:vAlign w:val="center"/>
            <w:hideMark/>
          </w:tcPr>
          <w:p w14:paraId="71B36688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 xml:space="preserve">EUR, SAS, </w:t>
            </w:r>
            <w:r w:rsidRPr="00DB571F">
              <w:rPr>
                <w:color w:val="000000"/>
                <w:sz w:val="11"/>
                <w:szCs w:val="11"/>
              </w:rPr>
              <w:br/>
              <w:t>AFR, CSA</w:t>
            </w:r>
          </w:p>
        </w:tc>
        <w:tc>
          <w:tcPr>
            <w:tcW w:w="990" w:type="dxa"/>
            <w:noWrap/>
            <w:vAlign w:val="center"/>
            <w:hideMark/>
          </w:tcPr>
          <w:p w14:paraId="0A715098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3,523/36,634</w:t>
            </w:r>
          </w:p>
        </w:tc>
        <w:tc>
          <w:tcPr>
            <w:tcW w:w="2318" w:type="dxa"/>
            <w:noWrap/>
            <w:vAlign w:val="center"/>
            <w:hideMark/>
          </w:tcPr>
          <w:p w14:paraId="382D7AF6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The COVID-19 host genetics initiative</w:t>
            </w:r>
          </w:p>
        </w:tc>
        <w:tc>
          <w:tcPr>
            <w:tcW w:w="1927" w:type="dxa"/>
            <w:noWrap/>
            <w:vAlign w:val="center"/>
            <w:hideMark/>
          </w:tcPr>
          <w:p w14:paraId="43D2FB7F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https://storage.googleapis.com/covid19-hg-public/20200619/results/build_37/COVID19_HGI_ANA_C1_V2_20200701.b37.txt.gz</w:t>
            </w:r>
          </w:p>
        </w:tc>
      </w:tr>
      <w:tr w:rsidR="008F7144" w:rsidRPr="00D82FA6" w14:paraId="602DD91F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noWrap/>
            <w:vAlign w:val="center"/>
            <w:hideMark/>
          </w:tcPr>
          <w:p w14:paraId="7788367E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covid vs. population</w:t>
            </w:r>
          </w:p>
        </w:tc>
        <w:tc>
          <w:tcPr>
            <w:tcW w:w="1417" w:type="dxa"/>
            <w:noWrap/>
            <w:vAlign w:val="center"/>
            <w:hideMark/>
          </w:tcPr>
          <w:p w14:paraId="3F9F7C88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HGI_covid_vs_pop</w:t>
            </w:r>
          </w:p>
        </w:tc>
        <w:tc>
          <w:tcPr>
            <w:tcW w:w="803" w:type="dxa"/>
            <w:vAlign w:val="center"/>
            <w:hideMark/>
          </w:tcPr>
          <w:p w14:paraId="64793184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 xml:space="preserve">EUR, FIN, ARAB, AMR, </w:t>
            </w:r>
            <w:r w:rsidRPr="00DB571F">
              <w:rPr>
                <w:color w:val="000000"/>
                <w:sz w:val="11"/>
                <w:szCs w:val="11"/>
              </w:rPr>
              <w:br/>
              <w:t>SAS, AFR, CSA</w:t>
            </w:r>
          </w:p>
        </w:tc>
        <w:tc>
          <w:tcPr>
            <w:tcW w:w="990" w:type="dxa"/>
            <w:noWrap/>
            <w:vAlign w:val="center"/>
            <w:hideMark/>
          </w:tcPr>
          <w:p w14:paraId="186D7311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6,696/1,073,072</w:t>
            </w:r>
          </w:p>
        </w:tc>
        <w:tc>
          <w:tcPr>
            <w:tcW w:w="2318" w:type="dxa"/>
            <w:noWrap/>
            <w:vAlign w:val="center"/>
            <w:hideMark/>
          </w:tcPr>
          <w:p w14:paraId="39E40C0C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The COVID-19 host genetics initiative</w:t>
            </w:r>
          </w:p>
        </w:tc>
        <w:tc>
          <w:tcPr>
            <w:tcW w:w="1927" w:type="dxa"/>
            <w:noWrap/>
            <w:vAlign w:val="center"/>
            <w:hideMark/>
          </w:tcPr>
          <w:p w14:paraId="7CAEFD06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https://storage.googleapis.com/covid19-hg-public/20200619/results/build_37/COVID19_HGI_ANA_C2_V2_20200701.b37.txt.gz</w:t>
            </w:r>
          </w:p>
        </w:tc>
      </w:tr>
      <w:tr w:rsidR="008F7144" w:rsidRPr="00D82FA6" w14:paraId="5CBBFE9A" w14:textId="77777777" w:rsidTr="001470B3">
        <w:trPr>
          <w:trHeight w:val="1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  <w:vAlign w:val="center"/>
            <w:hideMark/>
          </w:tcPr>
          <w:p w14:paraId="59EF6389" w14:textId="77777777" w:rsidR="008F7144" w:rsidRPr="00DB571F" w:rsidRDefault="008F7144" w:rsidP="00D56C00">
            <w:pPr>
              <w:jc w:val="center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predicted covid from self-reported symptoms vs. predicted or self-reported non-covid</w:t>
            </w:r>
          </w:p>
        </w:tc>
        <w:tc>
          <w:tcPr>
            <w:tcW w:w="1417" w:type="dxa"/>
            <w:noWrap/>
            <w:vAlign w:val="center"/>
            <w:hideMark/>
          </w:tcPr>
          <w:p w14:paraId="4FCA607A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HGI_covid_predicted</w:t>
            </w:r>
          </w:p>
        </w:tc>
        <w:tc>
          <w:tcPr>
            <w:tcW w:w="803" w:type="dxa"/>
            <w:noWrap/>
            <w:vAlign w:val="center"/>
            <w:hideMark/>
          </w:tcPr>
          <w:p w14:paraId="21E3FCC4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European</w:t>
            </w:r>
          </w:p>
        </w:tc>
        <w:tc>
          <w:tcPr>
            <w:tcW w:w="990" w:type="dxa"/>
            <w:noWrap/>
            <w:vAlign w:val="center"/>
            <w:hideMark/>
          </w:tcPr>
          <w:p w14:paraId="4264B9E1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1,865/29,174</w:t>
            </w:r>
          </w:p>
        </w:tc>
        <w:tc>
          <w:tcPr>
            <w:tcW w:w="2318" w:type="dxa"/>
            <w:noWrap/>
            <w:vAlign w:val="center"/>
            <w:hideMark/>
          </w:tcPr>
          <w:p w14:paraId="2D3BBBF0" w14:textId="77777777" w:rsidR="008F7144" w:rsidRPr="00DB571F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1"/>
                <w:szCs w:val="11"/>
              </w:rPr>
            </w:pPr>
            <w:r w:rsidRPr="00DB571F">
              <w:rPr>
                <w:color w:val="000000"/>
                <w:sz w:val="11"/>
                <w:szCs w:val="11"/>
              </w:rPr>
              <w:t>The COVID-19 host genetics initiative</w:t>
            </w:r>
          </w:p>
        </w:tc>
        <w:tc>
          <w:tcPr>
            <w:tcW w:w="1927" w:type="dxa"/>
            <w:noWrap/>
            <w:vAlign w:val="center"/>
            <w:hideMark/>
          </w:tcPr>
          <w:p w14:paraId="67A5BFCD" w14:textId="77777777" w:rsidR="008F7144" w:rsidRPr="00491E8B" w:rsidRDefault="008F7144" w:rsidP="00D56C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0"/>
                <w:szCs w:val="10"/>
              </w:rPr>
            </w:pPr>
            <w:r w:rsidRPr="00491E8B">
              <w:rPr>
                <w:color w:val="000000"/>
                <w:sz w:val="10"/>
                <w:szCs w:val="10"/>
              </w:rPr>
              <w:t>https://storage.googleapis.com/covid19-hg-public/20200619/results/build_37/COVID19_HGI_ANA_D1_V2_20200701.b37.txt.gz</w:t>
            </w:r>
          </w:p>
        </w:tc>
      </w:tr>
    </w:tbl>
    <w:p w14:paraId="60D16CEA" w14:textId="0266AB1C" w:rsidR="004B7C70" w:rsidRPr="00B019C5" w:rsidRDefault="004B7C70">
      <w:pPr>
        <w:rPr>
          <w:rFonts w:eastAsia="Arial" w:cs="Arial"/>
          <w:sz w:val="20"/>
          <w:szCs w:val="20"/>
        </w:rPr>
      </w:pPr>
      <w:r>
        <w:rPr>
          <w:rFonts w:eastAsia="Arial" w:cs="Arial"/>
          <w:b/>
          <w:bCs/>
          <w:sz w:val="20"/>
          <w:szCs w:val="20"/>
        </w:rPr>
        <w:br w:type="page"/>
      </w:r>
    </w:p>
    <w:p w14:paraId="2C64D8DC" w14:textId="580A305A" w:rsidR="008F7144" w:rsidRPr="00BE3E9D" w:rsidRDefault="008F7144" w:rsidP="008F7144">
      <w:pPr>
        <w:spacing w:before="240" w:after="240"/>
        <w:rPr>
          <w:rFonts w:eastAsia="Arial" w:cs="Arial"/>
          <w:b/>
          <w:sz w:val="20"/>
          <w:szCs w:val="20"/>
        </w:rPr>
      </w:pPr>
      <w:r w:rsidRPr="00D14D9D">
        <w:rPr>
          <w:rFonts w:eastAsia="Arial" w:cs="Arial"/>
          <w:b/>
          <w:bCs/>
          <w:sz w:val="20"/>
          <w:szCs w:val="20"/>
        </w:rPr>
        <w:lastRenderedPageBreak/>
        <w:t>Table S</w:t>
      </w:r>
      <w:r w:rsidR="00B019C5">
        <w:rPr>
          <w:rFonts w:eastAsia="Arial" w:cs="Arial"/>
          <w:b/>
          <w:sz w:val="20"/>
          <w:szCs w:val="20"/>
        </w:rPr>
        <w:t>2</w:t>
      </w:r>
      <w:r w:rsidRPr="00D14D9D">
        <w:rPr>
          <w:rFonts w:eastAsia="Arial" w:cs="Arial"/>
          <w:b/>
          <w:bCs/>
          <w:sz w:val="20"/>
          <w:szCs w:val="20"/>
        </w:rPr>
        <w:t xml:space="preserve">. </w:t>
      </w:r>
      <w:r w:rsidRPr="005A50B1">
        <w:rPr>
          <w:rFonts w:eastAsia="Arial" w:cs="Arial"/>
          <w:bCs/>
          <w:sz w:val="20"/>
          <w:szCs w:val="20"/>
        </w:rPr>
        <w:t>Common diseases in GERA cohort</w:t>
      </w:r>
    </w:p>
    <w:tbl>
      <w:tblPr>
        <w:tblStyle w:val="PlainTable5"/>
        <w:tblW w:w="5000" w:type="pct"/>
        <w:tblLook w:val="04A0" w:firstRow="1" w:lastRow="0" w:firstColumn="1" w:lastColumn="0" w:noHBand="0" w:noVBand="1"/>
      </w:tblPr>
      <w:tblGrid>
        <w:gridCol w:w="3130"/>
        <w:gridCol w:w="3447"/>
        <w:gridCol w:w="1099"/>
        <w:gridCol w:w="1344"/>
      </w:tblGrid>
      <w:tr w:rsidR="008F7144" w:rsidRPr="00D14D9D" w14:paraId="50F0C5D1" w14:textId="77777777" w:rsidTr="00D56C0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735" w:type="pct"/>
            <w:noWrap/>
            <w:vAlign w:val="center"/>
            <w:hideMark/>
          </w:tcPr>
          <w:p w14:paraId="33E031C9" w14:textId="77777777" w:rsidR="008F7144" w:rsidRPr="00D14D9D" w:rsidRDefault="008F7144" w:rsidP="00D56C00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D14D9D">
              <w:rPr>
                <w:b/>
                <w:bCs/>
                <w:color w:val="000000"/>
                <w:sz w:val="16"/>
                <w:szCs w:val="16"/>
              </w:rPr>
              <w:t>Common Disease</w:t>
            </w:r>
          </w:p>
        </w:tc>
        <w:tc>
          <w:tcPr>
            <w:tcW w:w="1911" w:type="pct"/>
            <w:noWrap/>
            <w:vAlign w:val="center"/>
            <w:hideMark/>
          </w:tcPr>
          <w:p w14:paraId="3AE2B8E6" w14:textId="77777777" w:rsidR="008F7144" w:rsidRPr="00D14D9D" w:rsidRDefault="008F7144" w:rsidP="00D56C0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000000"/>
                <w:sz w:val="16"/>
                <w:szCs w:val="16"/>
              </w:rPr>
            </w:pPr>
            <w:r w:rsidRPr="00D14D9D">
              <w:rPr>
                <w:b/>
                <w:bCs/>
                <w:color w:val="000000"/>
                <w:sz w:val="16"/>
                <w:szCs w:val="16"/>
              </w:rPr>
              <w:t>Abbreviation</w:t>
            </w:r>
          </w:p>
        </w:tc>
        <w:tc>
          <w:tcPr>
            <w:tcW w:w="609" w:type="pct"/>
            <w:noWrap/>
            <w:vAlign w:val="center"/>
            <w:hideMark/>
          </w:tcPr>
          <w:p w14:paraId="26DC10F8" w14:textId="77777777" w:rsidR="008F7144" w:rsidRPr="00D14D9D" w:rsidRDefault="008F7144" w:rsidP="00D56C0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000000"/>
                <w:sz w:val="16"/>
                <w:szCs w:val="16"/>
              </w:rPr>
            </w:pPr>
            <w:r w:rsidRPr="00D14D9D">
              <w:rPr>
                <w:b/>
                <w:bCs/>
                <w:color w:val="000000"/>
                <w:sz w:val="16"/>
                <w:szCs w:val="16"/>
              </w:rPr>
              <w:t>N_cases</w:t>
            </w:r>
          </w:p>
        </w:tc>
        <w:tc>
          <w:tcPr>
            <w:tcW w:w="745" w:type="pct"/>
            <w:noWrap/>
            <w:vAlign w:val="center"/>
            <w:hideMark/>
          </w:tcPr>
          <w:p w14:paraId="6383C386" w14:textId="77777777" w:rsidR="008F7144" w:rsidRPr="00D14D9D" w:rsidRDefault="008F7144" w:rsidP="00D56C0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000000"/>
                <w:sz w:val="16"/>
                <w:szCs w:val="16"/>
              </w:rPr>
            </w:pPr>
            <w:r w:rsidRPr="00D14D9D">
              <w:rPr>
                <w:b/>
                <w:bCs/>
                <w:color w:val="000000"/>
                <w:sz w:val="16"/>
                <w:szCs w:val="16"/>
              </w:rPr>
              <w:t>N_controls</w:t>
            </w:r>
          </w:p>
        </w:tc>
      </w:tr>
      <w:tr w:rsidR="008F7144" w:rsidRPr="00D14D9D" w14:paraId="444F88C2" w14:textId="77777777" w:rsidTr="00D56C0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3FE1D079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Asthma</w:t>
            </w:r>
          </w:p>
        </w:tc>
        <w:tc>
          <w:tcPr>
            <w:tcW w:w="1911" w:type="pct"/>
            <w:noWrap/>
            <w:vAlign w:val="center"/>
            <w:hideMark/>
          </w:tcPr>
          <w:p w14:paraId="55077ADC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ASTHMA</w:t>
            </w:r>
          </w:p>
        </w:tc>
        <w:tc>
          <w:tcPr>
            <w:tcW w:w="609" w:type="pct"/>
            <w:noWrap/>
            <w:vAlign w:val="center"/>
            <w:hideMark/>
          </w:tcPr>
          <w:p w14:paraId="1B014003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10,080</w:t>
            </w:r>
          </w:p>
        </w:tc>
        <w:tc>
          <w:tcPr>
            <w:tcW w:w="745" w:type="pct"/>
            <w:noWrap/>
            <w:vAlign w:val="center"/>
            <w:hideMark/>
          </w:tcPr>
          <w:p w14:paraId="1A0170C2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51,767</w:t>
            </w:r>
          </w:p>
        </w:tc>
      </w:tr>
      <w:tr w:rsidR="008F7144" w:rsidRPr="00D14D9D" w14:paraId="11A6F16A" w14:textId="77777777" w:rsidTr="00D56C00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3A3E62DA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Allergic Rhinitis</w:t>
            </w:r>
          </w:p>
        </w:tc>
        <w:tc>
          <w:tcPr>
            <w:tcW w:w="1911" w:type="pct"/>
            <w:noWrap/>
            <w:vAlign w:val="center"/>
            <w:hideMark/>
          </w:tcPr>
          <w:p w14:paraId="06632003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ALLERGIC_RHINITIS</w:t>
            </w:r>
          </w:p>
        </w:tc>
        <w:tc>
          <w:tcPr>
            <w:tcW w:w="609" w:type="pct"/>
            <w:noWrap/>
            <w:vAlign w:val="center"/>
            <w:hideMark/>
          </w:tcPr>
          <w:p w14:paraId="23CFCC43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15,166</w:t>
            </w:r>
          </w:p>
        </w:tc>
        <w:tc>
          <w:tcPr>
            <w:tcW w:w="745" w:type="pct"/>
            <w:noWrap/>
            <w:vAlign w:val="center"/>
            <w:hideMark/>
          </w:tcPr>
          <w:p w14:paraId="75DBF084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46,681</w:t>
            </w:r>
          </w:p>
        </w:tc>
      </w:tr>
      <w:tr w:rsidR="008F7144" w:rsidRPr="00D14D9D" w14:paraId="390A63D3" w14:textId="77777777" w:rsidTr="00D56C0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4C8833EB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Cardiovascular Disease</w:t>
            </w:r>
          </w:p>
        </w:tc>
        <w:tc>
          <w:tcPr>
            <w:tcW w:w="1911" w:type="pct"/>
            <w:noWrap/>
            <w:vAlign w:val="center"/>
            <w:hideMark/>
          </w:tcPr>
          <w:p w14:paraId="203C91FE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CARD</w:t>
            </w:r>
          </w:p>
        </w:tc>
        <w:tc>
          <w:tcPr>
            <w:tcW w:w="609" w:type="pct"/>
            <w:noWrap/>
            <w:vAlign w:val="center"/>
            <w:hideMark/>
          </w:tcPr>
          <w:p w14:paraId="4EB98C06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16,399</w:t>
            </w:r>
          </w:p>
        </w:tc>
        <w:tc>
          <w:tcPr>
            <w:tcW w:w="745" w:type="pct"/>
            <w:noWrap/>
            <w:vAlign w:val="center"/>
            <w:hideMark/>
          </w:tcPr>
          <w:p w14:paraId="3F3D9859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45,448</w:t>
            </w:r>
          </w:p>
        </w:tc>
      </w:tr>
      <w:tr w:rsidR="008F7144" w:rsidRPr="00D14D9D" w14:paraId="633B8D2A" w14:textId="77777777" w:rsidTr="00D56C00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5EA47928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Cancer</w:t>
            </w:r>
          </w:p>
        </w:tc>
        <w:tc>
          <w:tcPr>
            <w:tcW w:w="1911" w:type="pct"/>
            <w:noWrap/>
            <w:vAlign w:val="center"/>
            <w:hideMark/>
          </w:tcPr>
          <w:p w14:paraId="66C8D5C3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CANCER</w:t>
            </w:r>
          </w:p>
        </w:tc>
        <w:tc>
          <w:tcPr>
            <w:tcW w:w="609" w:type="pct"/>
            <w:noWrap/>
            <w:vAlign w:val="center"/>
            <w:hideMark/>
          </w:tcPr>
          <w:p w14:paraId="41BD78B3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18,677</w:t>
            </w:r>
          </w:p>
        </w:tc>
        <w:tc>
          <w:tcPr>
            <w:tcW w:w="745" w:type="pct"/>
            <w:noWrap/>
            <w:vAlign w:val="center"/>
            <w:hideMark/>
          </w:tcPr>
          <w:p w14:paraId="1CCC4338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43,170</w:t>
            </w:r>
          </w:p>
        </w:tc>
      </w:tr>
      <w:tr w:rsidR="008F7144" w:rsidRPr="00D14D9D" w14:paraId="6BD4724E" w14:textId="77777777" w:rsidTr="00D56C0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7EA36B95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Major Depressive Disorder</w:t>
            </w:r>
          </w:p>
        </w:tc>
        <w:tc>
          <w:tcPr>
            <w:tcW w:w="1911" w:type="pct"/>
            <w:noWrap/>
            <w:vAlign w:val="center"/>
            <w:hideMark/>
          </w:tcPr>
          <w:p w14:paraId="5E631F79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DEPRESS</w:t>
            </w:r>
          </w:p>
        </w:tc>
        <w:tc>
          <w:tcPr>
            <w:tcW w:w="609" w:type="pct"/>
            <w:noWrap/>
            <w:vAlign w:val="center"/>
            <w:hideMark/>
          </w:tcPr>
          <w:p w14:paraId="1BBB57F9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7,892</w:t>
            </w:r>
          </w:p>
        </w:tc>
        <w:tc>
          <w:tcPr>
            <w:tcW w:w="745" w:type="pct"/>
            <w:noWrap/>
            <w:vAlign w:val="center"/>
            <w:hideMark/>
          </w:tcPr>
          <w:p w14:paraId="7D2ABE53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53,955</w:t>
            </w:r>
          </w:p>
        </w:tc>
      </w:tr>
      <w:tr w:rsidR="008F7144" w:rsidRPr="00D14D9D" w14:paraId="092D65F4" w14:textId="77777777" w:rsidTr="00D56C00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503219CA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Dermatophytosis</w:t>
            </w:r>
          </w:p>
        </w:tc>
        <w:tc>
          <w:tcPr>
            <w:tcW w:w="1911" w:type="pct"/>
            <w:noWrap/>
            <w:vAlign w:val="center"/>
            <w:hideMark/>
          </w:tcPr>
          <w:p w14:paraId="2D14332D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/</w:t>
            </w:r>
          </w:p>
        </w:tc>
        <w:tc>
          <w:tcPr>
            <w:tcW w:w="609" w:type="pct"/>
            <w:noWrap/>
            <w:vAlign w:val="center"/>
            <w:hideMark/>
          </w:tcPr>
          <w:p w14:paraId="7AFC0230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8,428</w:t>
            </w:r>
          </w:p>
        </w:tc>
        <w:tc>
          <w:tcPr>
            <w:tcW w:w="745" w:type="pct"/>
            <w:noWrap/>
            <w:vAlign w:val="center"/>
            <w:hideMark/>
          </w:tcPr>
          <w:p w14:paraId="30ECD829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53,419</w:t>
            </w:r>
          </w:p>
        </w:tc>
      </w:tr>
      <w:tr w:rsidR="008F7144" w:rsidRPr="00D14D9D" w14:paraId="55F26602" w14:textId="77777777" w:rsidTr="00D56C0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2DACF8F0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T2D</w:t>
            </w:r>
          </w:p>
        </w:tc>
        <w:tc>
          <w:tcPr>
            <w:tcW w:w="1911" w:type="pct"/>
            <w:noWrap/>
            <w:vAlign w:val="center"/>
            <w:hideMark/>
          </w:tcPr>
          <w:p w14:paraId="5FD6EAF9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DIA2</w:t>
            </w:r>
          </w:p>
        </w:tc>
        <w:tc>
          <w:tcPr>
            <w:tcW w:w="609" w:type="pct"/>
            <w:noWrap/>
            <w:vAlign w:val="center"/>
            <w:hideMark/>
          </w:tcPr>
          <w:p w14:paraId="53013FDA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7,624</w:t>
            </w:r>
          </w:p>
        </w:tc>
        <w:tc>
          <w:tcPr>
            <w:tcW w:w="745" w:type="pct"/>
            <w:noWrap/>
            <w:vAlign w:val="center"/>
            <w:hideMark/>
          </w:tcPr>
          <w:p w14:paraId="71FB6F86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54,223</w:t>
            </w:r>
          </w:p>
        </w:tc>
      </w:tr>
      <w:tr w:rsidR="008F7144" w:rsidRPr="00D14D9D" w14:paraId="6BF41F2D" w14:textId="77777777" w:rsidTr="00D56C00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4F403E28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Dyslipidemia</w:t>
            </w:r>
          </w:p>
        </w:tc>
        <w:tc>
          <w:tcPr>
            <w:tcW w:w="1911" w:type="pct"/>
            <w:noWrap/>
            <w:vAlign w:val="center"/>
            <w:hideMark/>
          </w:tcPr>
          <w:p w14:paraId="6E9D5FCB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DYSLIPID</w:t>
            </w:r>
          </w:p>
        </w:tc>
        <w:tc>
          <w:tcPr>
            <w:tcW w:w="609" w:type="pct"/>
            <w:noWrap/>
            <w:vAlign w:val="center"/>
            <w:hideMark/>
          </w:tcPr>
          <w:p w14:paraId="2670D1BA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33,024</w:t>
            </w:r>
          </w:p>
        </w:tc>
        <w:tc>
          <w:tcPr>
            <w:tcW w:w="745" w:type="pct"/>
            <w:noWrap/>
            <w:vAlign w:val="center"/>
            <w:hideMark/>
          </w:tcPr>
          <w:p w14:paraId="512AA476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28,823</w:t>
            </w:r>
          </w:p>
        </w:tc>
      </w:tr>
      <w:tr w:rsidR="008F7144" w:rsidRPr="00D14D9D" w14:paraId="63F6246D" w14:textId="77777777" w:rsidTr="00D56C0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0F5CF929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Hypertensive Disease</w:t>
            </w:r>
          </w:p>
        </w:tc>
        <w:tc>
          <w:tcPr>
            <w:tcW w:w="1911" w:type="pct"/>
            <w:noWrap/>
            <w:vAlign w:val="center"/>
            <w:hideMark/>
          </w:tcPr>
          <w:p w14:paraId="7CCF5E73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HYPER</w:t>
            </w:r>
          </w:p>
        </w:tc>
        <w:tc>
          <w:tcPr>
            <w:tcW w:w="609" w:type="pct"/>
            <w:noWrap/>
            <w:vAlign w:val="center"/>
            <w:hideMark/>
          </w:tcPr>
          <w:p w14:paraId="3A6769B3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31,000</w:t>
            </w:r>
          </w:p>
        </w:tc>
        <w:tc>
          <w:tcPr>
            <w:tcW w:w="745" w:type="pct"/>
            <w:noWrap/>
            <w:vAlign w:val="center"/>
            <w:hideMark/>
          </w:tcPr>
          <w:p w14:paraId="2C4EBEB0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30,847</w:t>
            </w:r>
          </w:p>
        </w:tc>
      </w:tr>
      <w:tr w:rsidR="008F7144" w:rsidRPr="00D14D9D" w14:paraId="659FBF62" w14:textId="77777777" w:rsidTr="00D56C00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74E0562A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Hemorrhoids</w:t>
            </w:r>
          </w:p>
        </w:tc>
        <w:tc>
          <w:tcPr>
            <w:tcW w:w="1911" w:type="pct"/>
            <w:noWrap/>
            <w:vAlign w:val="center"/>
            <w:hideMark/>
          </w:tcPr>
          <w:p w14:paraId="5D569107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HEMORRHOIDS</w:t>
            </w:r>
          </w:p>
        </w:tc>
        <w:tc>
          <w:tcPr>
            <w:tcW w:w="609" w:type="pct"/>
            <w:noWrap/>
            <w:vAlign w:val="center"/>
            <w:hideMark/>
          </w:tcPr>
          <w:p w14:paraId="5D06987A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9,898</w:t>
            </w:r>
          </w:p>
        </w:tc>
        <w:tc>
          <w:tcPr>
            <w:tcW w:w="745" w:type="pct"/>
            <w:noWrap/>
            <w:vAlign w:val="center"/>
            <w:hideMark/>
          </w:tcPr>
          <w:p w14:paraId="61145F7A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51,949</w:t>
            </w:r>
          </w:p>
        </w:tc>
      </w:tr>
      <w:tr w:rsidR="008F7144" w:rsidRPr="00D14D9D" w14:paraId="561F7137" w14:textId="77777777" w:rsidTr="00D56C0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3C7DFA4E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Hernia Abdominopelvic Cavity</w:t>
            </w:r>
          </w:p>
        </w:tc>
        <w:tc>
          <w:tcPr>
            <w:tcW w:w="1911" w:type="pct"/>
            <w:noWrap/>
            <w:vAlign w:val="center"/>
            <w:hideMark/>
          </w:tcPr>
          <w:p w14:paraId="47F844CC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HERNIA_ABDOMINOPELVIC</w:t>
            </w:r>
          </w:p>
        </w:tc>
        <w:tc>
          <w:tcPr>
            <w:tcW w:w="609" w:type="pct"/>
            <w:noWrap/>
            <w:vAlign w:val="center"/>
            <w:hideMark/>
          </w:tcPr>
          <w:p w14:paraId="1A74245F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6,864</w:t>
            </w:r>
          </w:p>
        </w:tc>
        <w:tc>
          <w:tcPr>
            <w:tcW w:w="745" w:type="pct"/>
            <w:noWrap/>
            <w:vAlign w:val="center"/>
            <w:hideMark/>
          </w:tcPr>
          <w:p w14:paraId="74A41751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54,983</w:t>
            </w:r>
          </w:p>
        </w:tc>
      </w:tr>
      <w:tr w:rsidR="008F7144" w:rsidRPr="00D14D9D" w14:paraId="0C6FA3CE" w14:textId="77777777" w:rsidTr="00D56C00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0F472F50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Insomnia</w:t>
            </w:r>
          </w:p>
        </w:tc>
        <w:tc>
          <w:tcPr>
            <w:tcW w:w="1911" w:type="pct"/>
            <w:noWrap/>
            <w:vAlign w:val="center"/>
            <w:hideMark/>
          </w:tcPr>
          <w:p w14:paraId="38EECBDB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INSOMNIA</w:t>
            </w:r>
          </w:p>
        </w:tc>
        <w:tc>
          <w:tcPr>
            <w:tcW w:w="609" w:type="pct"/>
            <w:noWrap/>
            <w:vAlign w:val="center"/>
            <w:hideMark/>
          </w:tcPr>
          <w:p w14:paraId="3C0F6873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4,346</w:t>
            </w:r>
          </w:p>
        </w:tc>
        <w:tc>
          <w:tcPr>
            <w:tcW w:w="745" w:type="pct"/>
            <w:noWrap/>
            <w:vAlign w:val="center"/>
            <w:hideMark/>
          </w:tcPr>
          <w:p w14:paraId="3626E017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57,501</w:t>
            </w:r>
          </w:p>
        </w:tc>
      </w:tr>
      <w:tr w:rsidR="008F7144" w:rsidRPr="00D14D9D" w14:paraId="7271D1C5" w14:textId="77777777" w:rsidTr="00D56C0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31EBDA52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Iron Deficiency Anemias</w:t>
            </w:r>
          </w:p>
        </w:tc>
        <w:tc>
          <w:tcPr>
            <w:tcW w:w="1911" w:type="pct"/>
            <w:noWrap/>
            <w:vAlign w:val="center"/>
            <w:hideMark/>
          </w:tcPr>
          <w:p w14:paraId="40235661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IRON_DEFICIENCY</w:t>
            </w:r>
          </w:p>
        </w:tc>
        <w:tc>
          <w:tcPr>
            <w:tcW w:w="609" w:type="pct"/>
            <w:noWrap/>
            <w:vAlign w:val="center"/>
            <w:hideMark/>
          </w:tcPr>
          <w:p w14:paraId="26B591DE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2,699</w:t>
            </w:r>
          </w:p>
        </w:tc>
        <w:tc>
          <w:tcPr>
            <w:tcW w:w="745" w:type="pct"/>
            <w:noWrap/>
            <w:vAlign w:val="center"/>
            <w:hideMark/>
          </w:tcPr>
          <w:p w14:paraId="1EA9C831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59,148</w:t>
            </w:r>
          </w:p>
        </w:tc>
      </w:tr>
      <w:tr w:rsidR="008F7144" w:rsidRPr="00D14D9D" w14:paraId="4F69C0DC" w14:textId="77777777" w:rsidTr="00D56C00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138967D5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Irritable Bowel Syndrome</w:t>
            </w:r>
          </w:p>
        </w:tc>
        <w:tc>
          <w:tcPr>
            <w:tcW w:w="1911" w:type="pct"/>
            <w:noWrap/>
            <w:vAlign w:val="center"/>
            <w:hideMark/>
          </w:tcPr>
          <w:p w14:paraId="19611433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IRRITABLE_BOWEL</w:t>
            </w:r>
          </w:p>
        </w:tc>
        <w:tc>
          <w:tcPr>
            <w:tcW w:w="609" w:type="pct"/>
            <w:noWrap/>
            <w:vAlign w:val="center"/>
            <w:hideMark/>
          </w:tcPr>
          <w:p w14:paraId="3C509662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3,359</w:t>
            </w:r>
          </w:p>
        </w:tc>
        <w:tc>
          <w:tcPr>
            <w:tcW w:w="745" w:type="pct"/>
            <w:noWrap/>
            <w:vAlign w:val="center"/>
            <w:hideMark/>
          </w:tcPr>
          <w:p w14:paraId="7AA60DBB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58,488</w:t>
            </w:r>
          </w:p>
        </w:tc>
      </w:tr>
      <w:tr w:rsidR="008F7144" w:rsidRPr="00D14D9D" w14:paraId="65DE2DDD" w14:textId="77777777" w:rsidTr="00D56C0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27189090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Macular Degeneration</w:t>
            </w:r>
          </w:p>
        </w:tc>
        <w:tc>
          <w:tcPr>
            <w:tcW w:w="1911" w:type="pct"/>
            <w:noWrap/>
            <w:vAlign w:val="center"/>
            <w:hideMark/>
          </w:tcPr>
          <w:p w14:paraId="746EB994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MACDEGEN</w:t>
            </w:r>
          </w:p>
        </w:tc>
        <w:tc>
          <w:tcPr>
            <w:tcW w:w="609" w:type="pct"/>
            <w:noWrap/>
            <w:vAlign w:val="center"/>
            <w:hideMark/>
          </w:tcPr>
          <w:p w14:paraId="56D257BA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4,026</w:t>
            </w:r>
          </w:p>
        </w:tc>
        <w:tc>
          <w:tcPr>
            <w:tcW w:w="745" w:type="pct"/>
            <w:noWrap/>
            <w:vAlign w:val="center"/>
            <w:hideMark/>
          </w:tcPr>
          <w:p w14:paraId="5E7C693D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57,821</w:t>
            </w:r>
          </w:p>
        </w:tc>
      </w:tr>
      <w:tr w:rsidR="008F7144" w:rsidRPr="00D14D9D" w14:paraId="19A24171" w14:textId="77777777" w:rsidTr="00D56C00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179255EC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Osteoarthritis</w:t>
            </w:r>
          </w:p>
        </w:tc>
        <w:tc>
          <w:tcPr>
            <w:tcW w:w="1911" w:type="pct"/>
            <w:noWrap/>
            <w:vAlign w:val="center"/>
            <w:hideMark/>
          </w:tcPr>
          <w:p w14:paraId="63F70205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OSTIOA</w:t>
            </w:r>
          </w:p>
        </w:tc>
        <w:tc>
          <w:tcPr>
            <w:tcW w:w="609" w:type="pct"/>
            <w:noWrap/>
            <w:vAlign w:val="center"/>
            <w:hideMark/>
          </w:tcPr>
          <w:p w14:paraId="16155801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22,022</w:t>
            </w:r>
          </w:p>
        </w:tc>
        <w:tc>
          <w:tcPr>
            <w:tcW w:w="745" w:type="pct"/>
            <w:noWrap/>
            <w:vAlign w:val="center"/>
            <w:hideMark/>
          </w:tcPr>
          <w:p w14:paraId="4BDDDE34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39,825</w:t>
            </w:r>
          </w:p>
        </w:tc>
      </w:tr>
      <w:tr w:rsidR="008F7144" w:rsidRPr="00D14D9D" w14:paraId="7DC5DBF0" w14:textId="77777777" w:rsidTr="00D56C0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00B549A5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Osteoporosis</w:t>
            </w:r>
          </w:p>
        </w:tc>
        <w:tc>
          <w:tcPr>
            <w:tcW w:w="1911" w:type="pct"/>
            <w:noWrap/>
            <w:vAlign w:val="center"/>
            <w:hideMark/>
          </w:tcPr>
          <w:p w14:paraId="45D6FE41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OSTIOP</w:t>
            </w:r>
          </w:p>
        </w:tc>
        <w:tc>
          <w:tcPr>
            <w:tcW w:w="609" w:type="pct"/>
            <w:noWrap/>
            <w:vAlign w:val="center"/>
            <w:hideMark/>
          </w:tcPr>
          <w:p w14:paraId="63E4F01C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5,898</w:t>
            </w:r>
          </w:p>
        </w:tc>
        <w:tc>
          <w:tcPr>
            <w:tcW w:w="745" w:type="pct"/>
            <w:noWrap/>
            <w:vAlign w:val="center"/>
            <w:hideMark/>
          </w:tcPr>
          <w:p w14:paraId="60DC4813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55,949</w:t>
            </w:r>
          </w:p>
        </w:tc>
      </w:tr>
      <w:tr w:rsidR="008F7144" w:rsidRPr="00D14D9D" w14:paraId="12518D8E" w14:textId="77777777" w:rsidTr="00D56C00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2A937AA1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Peripheral Vascular Disease</w:t>
            </w:r>
          </w:p>
        </w:tc>
        <w:tc>
          <w:tcPr>
            <w:tcW w:w="1911" w:type="pct"/>
            <w:noWrap/>
            <w:vAlign w:val="center"/>
            <w:hideMark/>
          </w:tcPr>
          <w:p w14:paraId="76D43073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PVD</w:t>
            </w:r>
          </w:p>
        </w:tc>
        <w:tc>
          <w:tcPr>
            <w:tcW w:w="609" w:type="pct"/>
            <w:noWrap/>
            <w:vAlign w:val="center"/>
            <w:hideMark/>
          </w:tcPr>
          <w:p w14:paraId="4553B44C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4,708</w:t>
            </w:r>
          </w:p>
        </w:tc>
        <w:tc>
          <w:tcPr>
            <w:tcW w:w="745" w:type="pct"/>
            <w:noWrap/>
            <w:vAlign w:val="center"/>
            <w:hideMark/>
          </w:tcPr>
          <w:p w14:paraId="37389FA7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57,139</w:t>
            </w:r>
          </w:p>
        </w:tc>
      </w:tr>
      <w:tr w:rsidR="008F7144" w:rsidRPr="00D14D9D" w14:paraId="0E5538C6" w14:textId="77777777" w:rsidTr="00D56C0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5DB049CA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Peptic Ulcer</w:t>
            </w:r>
          </w:p>
        </w:tc>
        <w:tc>
          <w:tcPr>
            <w:tcW w:w="1911" w:type="pct"/>
            <w:noWrap/>
            <w:vAlign w:val="center"/>
            <w:hideMark/>
          </w:tcPr>
          <w:p w14:paraId="4F0BB5FB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PEPTIC_ULCERS</w:t>
            </w:r>
          </w:p>
        </w:tc>
        <w:tc>
          <w:tcPr>
            <w:tcW w:w="609" w:type="pct"/>
            <w:noWrap/>
            <w:vAlign w:val="center"/>
            <w:hideMark/>
          </w:tcPr>
          <w:p w14:paraId="0F5131BB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1,004</w:t>
            </w:r>
          </w:p>
        </w:tc>
        <w:tc>
          <w:tcPr>
            <w:tcW w:w="745" w:type="pct"/>
            <w:noWrap/>
            <w:vAlign w:val="center"/>
            <w:hideMark/>
          </w:tcPr>
          <w:p w14:paraId="38ED9AB7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60,843</w:t>
            </w:r>
          </w:p>
        </w:tc>
      </w:tr>
      <w:tr w:rsidR="008F7144" w:rsidRPr="00D14D9D" w14:paraId="72054C3F" w14:textId="77777777" w:rsidTr="00D56C00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766FB2AF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Psychiatric Disorder</w:t>
            </w:r>
          </w:p>
        </w:tc>
        <w:tc>
          <w:tcPr>
            <w:tcW w:w="1911" w:type="pct"/>
            <w:noWrap/>
            <w:vAlign w:val="center"/>
            <w:hideMark/>
          </w:tcPr>
          <w:p w14:paraId="3626CA9A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PSYCHIATRIC</w:t>
            </w:r>
          </w:p>
        </w:tc>
        <w:tc>
          <w:tcPr>
            <w:tcW w:w="609" w:type="pct"/>
            <w:noWrap/>
            <w:vAlign w:val="center"/>
            <w:hideMark/>
          </w:tcPr>
          <w:p w14:paraId="0937467F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9,394</w:t>
            </w:r>
          </w:p>
        </w:tc>
        <w:tc>
          <w:tcPr>
            <w:tcW w:w="745" w:type="pct"/>
            <w:noWrap/>
            <w:vAlign w:val="center"/>
            <w:hideMark/>
          </w:tcPr>
          <w:p w14:paraId="289833BB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52,453</w:t>
            </w:r>
          </w:p>
        </w:tc>
      </w:tr>
      <w:tr w:rsidR="008F7144" w:rsidRPr="00D14D9D" w14:paraId="6700FD6D" w14:textId="77777777" w:rsidTr="00D56C0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504AF962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Acute Reaction to Stress</w:t>
            </w:r>
          </w:p>
        </w:tc>
        <w:tc>
          <w:tcPr>
            <w:tcW w:w="1911" w:type="pct"/>
            <w:noWrap/>
            <w:vAlign w:val="center"/>
            <w:hideMark/>
          </w:tcPr>
          <w:p w14:paraId="674DFF0A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STRESS</w:t>
            </w:r>
          </w:p>
        </w:tc>
        <w:tc>
          <w:tcPr>
            <w:tcW w:w="609" w:type="pct"/>
            <w:noWrap/>
            <w:vAlign w:val="center"/>
            <w:hideMark/>
          </w:tcPr>
          <w:p w14:paraId="363E05B0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4,695</w:t>
            </w:r>
          </w:p>
        </w:tc>
        <w:tc>
          <w:tcPr>
            <w:tcW w:w="745" w:type="pct"/>
            <w:noWrap/>
            <w:vAlign w:val="center"/>
            <w:hideMark/>
          </w:tcPr>
          <w:p w14:paraId="046D0FBA" w14:textId="77777777" w:rsidR="008F7144" w:rsidRPr="00D14D9D" w:rsidRDefault="008F7144" w:rsidP="00D56C0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57,152</w:t>
            </w:r>
          </w:p>
        </w:tc>
      </w:tr>
      <w:tr w:rsidR="008F7144" w:rsidRPr="00D14D9D" w14:paraId="1BF74FE0" w14:textId="77777777" w:rsidTr="00D56C00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35" w:type="pct"/>
            <w:noWrap/>
            <w:vAlign w:val="center"/>
            <w:hideMark/>
          </w:tcPr>
          <w:p w14:paraId="2C073AE8" w14:textId="77777777" w:rsidR="008F7144" w:rsidRPr="00D14D9D" w:rsidRDefault="008F7144" w:rsidP="00D56C00">
            <w:pPr>
              <w:jc w:val="center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Varicose Veins</w:t>
            </w:r>
          </w:p>
        </w:tc>
        <w:tc>
          <w:tcPr>
            <w:tcW w:w="1911" w:type="pct"/>
            <w:noWrap/>
            <w:vAlign w:val="center"/>
            <w:hideMark/>
          </w:tcPr>
          <w:p w14:paraId="2C6B96DF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VARICOSE_VEINS</w:t>
            </w:r>
          </w:p>
        </w:tc>
        <w:tc>
          <w:tcPr>
            <w:tcW w:w="609" w:type="pct"/>
            <w:noWrap/>
            <w:vAlign w:val="center"/>
            <w:hideMark/>
          </w:tcPr>
          <w:p w14:paraId="3687B284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2,711</w:t>
            </w:r>
          </w:p>
        </w:tc>
        <w:tc>
          <w:tcPr>
            <w:tcW w:w="745" w:type="pct"/>
            <w:noWrap/>
            <w:vAlign w:val="center"/>
            <w:hideMark/>
          </w:tcPr>
          <w:p w14:paraId="0ED85310" w14:textId="77777777" w:rsidR="008F7144" w:rsidRPr="00D14D9D" w:rsidRDefault="008F7144" w:rsidP="00D56C0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6"/>
                <w:szCs w:val="16"/>
              </w:rPr>
            </w:pPr>
            <w:r w:rsidRPr="00D14D9D">
              <w:rPr>
                <w:color w:val="000000"/>
                <w:sz w:val="16"/>
                <w:szCs w:val="16"/>
              </w:rPr>
              <w:t>59,136</w:t>
            </w:r>
          </w:p>
        </w:tc>
      </w:tr>
    </w:tbl>
    <w:p w14:paraId="68E1E3FB" w14:textId="77777777" w:rsidR="007145A8" w:rsidRDefault="007145A8"/>
    <w:sectPr w:rsidR="007145A8" w:rsidSect="00181165">
      <w:footerReference w:type="even" r:id="rId10"/>
      <w:footerReference w:type="default" r:id="rId11"/>
      <w:pgSz w:w="11900" w:h="16840"/>
      <w:pgMar w:top="1440" w:right="1440" w:bottom="1440" w:left="1440" w:header="708" w:footer="708" w:gutter="0"/>
      <w:lnNumType w:countBy="1" w:restart="continuou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A61DF19" w14:textId="77777777" w:rsidR="00F33D40" w:rsidRDefault="00F33D40" w:rsidP="00B7264E">
      <w:r>
        <w:separator/>
      </w:r>
    </w:p>
  </w:endnote>
  <w:endnote w:type="continuationSeparator" w:id="0">
    <w:p w14:paraId="709E7A44" w14:textId="77777777" w:rsidR="00F33D40" w:rsidRDefault="00F33D40" w:rsidP="00B726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notTrueType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 Light">
    <w:altName w:val="等线 Light"/>
    <w:panose1 w:val="02010600030101010101"/>
    <w:charset w:val="86"/>
    <w:family w:val="auto"/>
    <w:notTrueType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2413058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D3B2147" w14:textId="47F456CF" w:rsidR="00B7264E" w:rsidRDefault="00B7264E" w:rsidP="000A06BB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FB13B42" w14:textId="77777777" w:rsidR="00B7264E" w:rsidRDefault="00B7264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770131568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CB15377" w14:textId="6D8ADDB3" w:rsidR="00B7264E" w:rsidRDefault="00B7264E" w:rsidP="000A06BB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051DA0E0" w14:textId="77777777" w:rsidR="00B7264E" w:rsidRDefault="00B7264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F0C0E01" w14:textId="77777777" w:rsidR="00F33D40" w:rsidRDefault="00F33D40" w:rsidP="00B7264E">
      <w:r>
        <w:separator/>
      </w:r>
    </w:p>
  </w:footnote>
  <w:footnote w:type="continuationSeparator" w:id="0">
    <w:p w14:paraId="79634EFA" w14:textId="77777777" w:rsidR="00F33D40" w:rsidRDefault="00F33D40" w:rsidP="00B7264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val="bestFit" w:percent="163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7144"/>
    <w:rsid w:val="0001597C"/>
    <w:rsid w:val="000620B1"/>
    <w:rsid w:val="00114406"/>
    <w:rsid w:val="0014549C"/>
    <w:rsid w:val="001470B3"/>
    <w:rsid w:val="00147EE0"/>
    <w:rsid w:val="0016243D"/>
    <w:rsid w:val="00164174"/>
    <w:rsid w:val="00166266"/>
    <w:rsid w:val="00181165"/>
    <w:rsid w:val="001A3780"/>
    <w:rsid w:val="001B3258"/>
    <w:rsid w:val="001C2ACD"/>
    <w:rsid w:val="002079A3"/>
    <w:rsid w:val="0023228B"/>
    <w:rsid w:val="00264655"/>
    <w:rsid w:val="00266E03"/>
    <w:rsid w:val="0028716A"/>
    <w:rsid w:val="002F7D0C"/>
    <w:rsid w:val="00301083"/>
    <w:rsid w:val="0031418E"/>
    <w:rsid w:val="00325855"/>
    <w:rsid w:val="00364959"/>
    <w:rsid w:val="00371BFB"/>
    <w:rsid w:val="003768E2"/>
    <w:rsid w:val="003959F3"/>
    <w:rsid w:val="003C0FA0"/>
    <w:rsid w:val="003D0A62"/>
    <w:rsid w:val="003E2AEC"/>
    <w:rsid w:val="003F709C"/>
    <w:rsid w:val="004102CF"/>
    <w:rsid w:val="004302CB"/>
    <w:rsid w:val="00432D7D"/>
    <w:rsid w:val="004349B0"/>
    <w:rsid w:val="00437A42"/>
    <w:rsid w:val="00440AF6"/>
    <w:rsid w:val="00456309"/>
    <w:rsid w:val="00461EF3"/>
    <w:rsid w:val="00465FE2"/>
    <w:rsid w:val="00491E8B"/>
    <w:rsid w:val="004B6019"/>
    <w:rsid w:val="004B7C70"/>
    <w:rsid w:val="004D26C2"/>
    <w:rsid w:val="004E6187"/>
    <w:rsid w:val="00544A62"/>
    <w:rsid w:val="00556392"/>
    <w:rsid w:val="00582A07"/>
    <w:rsid w:val="00583B97"/>
    <w:rsid w:val="005928D2"/>
    <w:rsid w:val="005A31BE"/>
    <w:rsid w:val="005C17FE"/>
    <w:rsid w:val="005D5F6C"/>
    <w:rsid w:val="005E30F9"/>
    <w:rsid w:val="00640968"/>
    <w:rsid w:val="00653F58"/>
    <w:rsid w:val="00660E17"/>
    <w:rsid w:val="00695532"/>
    <w:rsid w:val="006A1920"/>
    <w:rsid w:val="006A2596"/>
    <w:rsid w:val="006B25EE"/>
    <w:rsid w:val="006D6943"/>
    <w:rsid w:val="007049C9"/>
    <w:rsid w:val="00712D32"/>
    <w:rsid w:val="007145A8"/>
    <w:rsid w:val="007207DA"/>
    <w:rsid w:val="00724DE3"/>
    <w:rsid w:val="00736308"/>
    <w:rsid w:val="00744D26"/>
    <w:rsid w:val="00753C8E"/>
    <w:rsid w:val="00764806"/>
    <w:rsid w:val="00782F83"/>
    <w:rsid w:val="00792FB1"/>
    <w:rsid w:val="007C73A0"/>
    <w:rsid w:val="008028C3"/>
    <w:rsid w:val="0081698D"/>
    <w:rsid w:val="00824A93"/>
    <w:rsid w:val="008456F9"/>
    <w:rsid w:val="008767CE"/>
    <w:rsid w:val="00887BC5"/>
    <w:rsid w:val="008A6DF7"/>
    <w:rsid w:val="008C58CF"/>
    <w:rsid w:val="008E53A9"/>
    <w:rsid w:val="008F30DE"/>
    <w:rsid w:val="008F7144"/>
    <w:rsid w:val="00914904"/>
    <w:rsid w:val="00920AB8"/>
    <w:rsid w:val="0093306C"/>
    <w:rsid w:val="00937D78"/>
    <w:rsid w:val="00970185"/>
    <w:rsid w:val="009B6301"/>
    <w:rsid w:val="009E1829"/>
    <w:rsid w:val="009F36C9"/>
    <w:rsid w:val="00A1148C"/>
    <w:rsid w:val="00A221D4"/>
    <w:rsid w:val="00A23653"/>
    <w:rsid w:val="00A262C5"/>
    <w:rsid w:val="00A304DE"/>
    <w:rsid w:val="00AA368E"/>
    <w:rsid w:val="00B019C5"/>
    <w:rsid w:val="00B16B16"/>
    <w:rsid w:val="00B3231B"/>
    <w:rsid w:val="00B704EB"/>
    <w:rsid w:val="00B7264E"/>
    <w:rsid w:val="00B879C7"/>
    <w:rsid w:val="00BA1FB8"/>
    <w:rsid w:val="00BB6CC5"/>
    <w:rsid w:val="00BD3E8F"/>
    <w:rsid w:val="00BD63E3"/>
    <w:rsid w:val="00BE1B52"/>
    <w:rsid w:val="00BE3E9D"/>
    <w:rsid w:val="00BF465E"/>
    <w:rsid w:val="00C43A7D"/>
    <w:rsid w:val="00C50AEF"/>
    <w:rsid w:val="00C62AE0"/>
    <w:rsid w:val="00C63988"/>
    <w:rsid w:val="00C669DF"/>
    <w:rsid w:val="00CE2103"/>
    <w:rsid w:val="00CE60F9"/>
    <w:rsid w:val="00D12846"/>
    <w:rsid w:val="00D47F12"/>
    <w:rsid w:val="00D56C00"/>
    <w:rsid w:val="00D576B3"/>
    <w:rsid w:val="00D96F29"/>
    <w:rsid w:val="00DA0861"/>
    <w:rsid w:val="00DE3E2E"/>
    <w:rsid w:val="00E55F20"/>
    <w:rsid w:val="00E854C7"/>
    <w:rsid w:val="00EE727B"/>
    <w:rsid w:val="00F25BE6"/>
    <w:rsid w:val="00F33D40"/>
    <w:rsid w:val="00F4303E"/>
    <w:rsid w:val="00F55D15"/>
    <w:rsid w:val="00F73576"/>
    <w:rsid w:val="00F80270"/>
    <w:rsid w:val="00FD7A67"/>
    <w:rsid w:val="00FF264F"/>
    <w:rsid w:val="05115C1E"/>
    <w:rsid w:val="10FDC992"/>
    <w:rsid w:val="160ACA04"/>
    <w:rsid w:val="1F9678C8"/>
    <w:rsid w:val="2182CB6D"/>
    <w:rsid w:val="226B1AC1"/>
    <w:rsid w:val="3665426C"/>
    <w:rsid w:val="3D8B8A69"/>
    <w:rsid w:val="4075EE17"/>
    <w:rsid w:val="466E49F4"/>
    <w:rsid w:val="4FBC0570"/>
    <w:rsid w:val="5579C202"/>
    <w:rsid w:val="573BB3C6"/>
    <w:rsid w:val="59BC8DEC"/>
    <w:rsid w:val="62B083FF"/>
    <w:rsid w:val="65D26B90"/>
    <w:rsid w:val="70A438D6"/>
    <w:rsid w:val="75B7BB2C"/>
    <w:rsid w:val="786D7B6E"/>
    <w:rsid w:val="79F9BBAE"/>
    <w:rsid w:val="7BD03FD9"/>
    <w:rsid w:val="7FFEA4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6C68EF"/>
  <w15:chartTrackingRefBased/>
  <w15:docId w15:val="{CAFCC691-BA44-2D4D-A797-D581936BB3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F7144"/>
    <w:rPr>
      <w:rFonts w:ascii="Times New Roman" w:eastAsia="Times New Roman" w:hAnsi="Times New Roman" w:cs="Times New Roman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F7144"/>
    <w:pPr>
      <w:keepNext/>
      <w:outlineLvl w:val="1"/>
    </w:pPr>
    <w:rPr>
      <w:b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64174"/>
    <w:rPr>
      <w:rFonts w:eastAsiaTheme="minorEastAsia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4174"/>
    <w:rPr>
      <w:rFonts w:ascii="Times New Roman" w:hAnsi="Times New Roman" w:cs="Times New Roman"/>
      <w:sz w:val="18"/>
      <w:szCs w:val="18"/>
    </w:rPr>
  </w:style>
  <w:style w:type="character" w:customStyle="1" w:styleId="Heading2Char">
    <w:name w:val="Heading 2 Char"/>
    <w:basedOn w:val="DefaultParagraphFont"/>
    <w:link w:val="Heading2"/>
    <w:uiPriority w:val="9"/>
    <w:rsid w:val="008F7144"/>
    <w:rPr>
      <w:rFonts w:ascii="Times New Roman" w:eastAsia="Times New Roman" w:hAnsi="Times New Roman" w:cs="Times New Roman"/>
      <w:b/>
      <w:sz w:val="28"/>
      <w:szCs w:val="28"/>
    </w:rPr>
  </w:style>
  <w:style w:type="table" w:styleId="PlainTable5">
    <w:name w:val="Plain Table 5"/>
    <w:basedOn w:val="TableNormal"/>
    <w:uiPriority w:val="45"/>
    <w:rsid w:val="008F7144"/>
    <w:pPr>
      <w:suppressAutoHyphens/>
    </w:pPr>
    <w:rPr>
      <w:rFonts w:ascii="Times New Roman" w:eastAsia="SimSun" w:hAnsi="Times New Roman" w:cs="Times New Roman"/>
      <w:lang w:eastAsia="ja-JP"/>
      <w14:ligatures w14:val="standardContextual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dTable1Light">
    <w:name w:val="Grid Table 1 Light"/>
    <w:basedOn w:val="TableNormal"/>
    <w:uiPriority w:val="46"/>
    <w:rsid w:val="008F7144"/>
    <w:pPr>
      <w:suppressAutoHyphens/>
    </w:pPr>
    <w:rPr>
      <w:rFonts w:ascii="Times New Roman" w:eastAsia="SimSun" w:hAnsi="Times New Roman" w:cs="Times New Roman"/>
      <w:lang w:eastAsia="ja-JP"/>
      <w14:ligatures w14:val="standardContextual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Footer">
    <w:name w:val="footer"/>
    <w:basedOn w:val="Normal"/>
    <w:link w:val="FooterChar"/>
    <w:uiPriority w:val="99"/>
    <w:unhideWhenUsed/>
    <w:rsid w:val="00B7264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7264E"/>
    <w:rPr>
      <w:rFonts w:ascii="Times New Roman" w:eastAsia="Times New Roman" w:hAnsi="Times New Roman" w:cs="Times New Roman"/>
    </w:rPr>
  </w:style>
  <w:style w:type="character" w:styleId="PageNumber">
    <w:name w:val="page number"/>
    <w:basedOn w:val="DefaultParagraphFont"/>
    <w:uiPriority w:val="99"/>
    <w:semiHidden/>
    <w:unhideWhenUsed/>
    <w:rsid w:val="00B7264E"/>
  </w:style>
  <w:style w:type="character" w:styleId="LineNumber">
    <w:name w:val="line number"/>
    <w:basedOn w:val="DefaultParagraphFont"/>
    <w:uiPriority w:val="99"/>
    <w:semiHidden/>
    <w:unhideWhenUsed/>
    <w:rsid w:val="0018116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207</TotalTime>
  <Pages>6</Pages>
  <Words>1204</Words>
  <Characters>6869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Ying, Kejun Albert</dc:creator>
  <cp:keywords/>
  <dc:description/>
  <cp:lastModifiedBy>Ying, Kejun Albert</cp:lastModifiedBy>
  <cp:revision>65</cp:revision>
  <dcterms:created xsi:type="dcterms:W3CDTF">2020-08-02T23:59:00Z</dcterms:created>
  <dcterms:modified xsi:type="dcterms:W3CDTF">2020-10-27T05:19:00Z</dcterms:modified>
</cp:coreProperties>
</file>