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CA9" w:rsidRDefault="00330CA9" w:rsidP="00330CA9">
      <w:pPr>
        <w:rPr>
          <w:b/>
          <w:lang w:val="en-US"/>
        </w:rPr>
      </w:pPr>
      <w:r w:rsidRPr="001F6920">
        <w:rPr>
          <w:b/>
          <w:lang w:val="en-US"/>
        </w:rPr>
        <w:t xml:space="preserve">Supplementary Methods and Materials: </w:t>
      </w:r>
    </w:p>
    <w:p w:rsidR="00330CA9" w:rsidRDefault="00330CA9" w:rsidP="00330CA9">
      <w:pPr>
        <w:rPr>
          <w:b/>
          <w:lang w:val="en-US"/>
        </w:rPr>
      </w:pPr>
    </w:p>
    <w:p w:rsidR="00330CA9" w:rsidRPr="001F6920" w:rsidRDefault="00330CA9" w:rsidP="00330CA9">
      <w:pPr>
        <w:pBdr>
          <w:top w:val="nil"/>
          <w:left w:val="nil"/>
          <w:bottom w:val="nil"/>
          <w:right w:val="nil"/>
          <w:between w:val="nil"/>
        </w:pBdr>
        <w:spacing w:before="240" w:after="240"/>
        <w:ind w:right="-1"/>
        <w:jc w:val="both"/>
        <w:rPr>
          <w:rFonts w:ascii="Calibri" w:eastAsia="Calibri" w:hAnsi="Calibri" w:cs="Calibri"/>
          <w:lang w:val="en-US"/>
        </w:rPr>
      </w:pPr>
      <w:r>
        <w:rPr>
          <w:rFonts w:ascii="Calibri" w:eastAsia="Calibri" w:hAnsi="Calibri" w:cs="Calibri"/>
          <w:b/>
          <w:lang w:val="en-US"/>
        </w:rPr>
        <w:t xml:space="preserve">Genetic NF2 test: </w:t>
      </w:r>
      <w:r>
        <w:rPr>
          <w:rFonts w:ascii="Calibri" w:eastAsia="Calibri" w:hAnsi="Calibri" w:cs="Calibri"/>
          <w:lang w:val="en-US"/>
        </w:rPr>
        <w:t>Genetic test</w:t>
      </w:r>
      <w:r w:rsidRPr="001F6920">
        <w:rPr>
          <w:rFonts w:ascii="Calibri" w:eastAsia="Calibri" w:hAnsi="Calibri" w:cs="Calibri"/>
          <w:lang w:val="en-US"/>
        </w:rPr>
        <w:t xml:space="preserve"> was performed using the customized I2HCP panel</w:t>
      </w:r>
      <w:r>
        <w:rPr>
          <w:rFonts w:ascii="Calibri" w:eastAsia="Calibri" w:hAnsi="Calibri" w:cs="Calibri"/>
          <w:lang w:val="en-US"/>
        </w:rPr>
        <w:t xml:space="preserve"> (Castellanos et al 2017)</w:t>
      </w:r>
      <w:r>
        <w:rPr>
          <w:rFonts w:ascii="Calibri" w:eastAsia="Calibri" w:hAnsi="Calibri" w:cs="Calibri"/>
          <w:lang w:val="en-US"/>
        </w:rPr>
        <w:fldChar w:fldCharType="begin" w:fldLock="1"/>
      </w:r>
      <w:r>
        <w:rPr>
          <w:rFonts w:ascii="Calibri" w:eastAsia="Calibri" w:hAnsi="Calibri" w:cs="Calibri"/>
          <w:lang w:val="en-US"/>
        </w:rPr>
        <w:instrText>ADDIN CSL_CITATION {"citationItems":[{"id":"ITEM-1","itemData":{"DOI":"10.1038/srep39348","ISSN":"20452322","abstract":"© The Author(s) 2017. We wanted to implement an NGS strategy to globally analyze hereditary cancer with diagnostic quality while retaining the same degree of understanding and control we had in pre-NGS strategies. To do this, we developed the I2HCP panel, a custom bait library covering 122 hereditary cancer genes. We improved bait design, tested different NGS platforms and created a clinically driven custom data analysis pipeline. The I2HCP panel was developed using a training set of hereditary colorectal cancer, hereditary breast and ovarian cancer and neurofibromatosis patients and reached an accuracy, analytical sensitivity and specificity greater than 99%, which was maintained in a validation set. I2HCP changed our diagnostic approach, involving clinicians and a genetic diagnostics team from panel design to reporting. The new strategy improved diagnostic sensitivity, solved uncertain clinical diagnoses and identified mutations in new genes. We assessed the genetic variation in the complete set of hereditary cancer genes, revealing a complex variation landscape that coexists with the disease-causing mutation. We developed, validated and implemented a custom NGS-based strategy for hereditary cancer diagnostics that improved our previous workflows. Additionally, the existence of a rich genetic variation in hereditary cancer genes favors the use of this panel to investigate their role in cancer risk.","author":[{"dropping-particle":"","family":"Castellanos","given":"E.","non-dropping-particle":"","parse-names":false,"suffix":""},{"dropping-particle":"","family":"Gel","given":"B.","non-dropping-particle":"","parse-names":false,"suffix":""},{"dropping-particle":"","family":"Rosas","given":"I.","non-dropping-particle":"","parse-names":false,"suffix":""},{"dropping-particle":"","family":"Tornero","given":"E.","non-dropping-particle":"","parse-names":false,"suffix":""},{"dropping-particle":"","family":"Santín","given":"S.","non-dropping-particle":"","parse-names":false,"suffix":""},{"dropping-particle":"","family":"Pluvinet","given":"R.","non-dropping-particle":"","parse-names":false,"suffix":""},{"dropping-particle":"","family":"Velasco","given":"J.","non-dropping-particle":"","parse-names":false,"suffix":""},{"dropping-particle":"","family":"Sumoy","given":"L.","non-dropping-particle":"","parse-names":false,"suffix":""},{"dropping-particle":"","family":"Valle","given":"J.","non-dropping-particle":"Del","parse-names":false,"suffix":""},{"dropping-particle":"","family":"Perucho","given":"M.","non-dropping-particle":"","parse-names":false,"suffix":""},{"dropping-particle":"","family":"Blanco","given":"I.","non-dropping-particle":"","parse-names":false,"suffix":""},{"dropping-particle":"","family":"Navarro","given":"M.","non-dropping-particle":"","parse-names":false,"suffix":""},{"dropping-particle":"","family":"Brunet","given":"J.","non-dropping-particle":"","parse-names":false,"suffix":""},{"dropping-particle":"","family":"Pineda","given":"M.","non-dropping-particle":"","parse-names":false,"suffix":""},{"dropping-particle":"","family":"Feliubadaló","given":"L.","non-dropping-particle":"","parse-names":false,"suffix":""},{"dropping-particle":"","family":"Capellá","given":"G.","non-dropping-particle":"","parse-names":false,"suffix":""},{"dropping-particle":"","family":"Lázaro","given":"C.","non-dropping-particle":"","parse-names":false,"suffix":""},{"dropping-particle":"","family":"Serra","given":"E.","non-dropping-particle":"","parse-names":false,"suffix":""}],"container-title":"Scientific Reports","id":"ITEM-1","issued":{"date-parts":[["2017"]]},"title":"A comprehensive custom panel design for routine hereditary cancer testing: Preserving control, improving diagnostics and revealing a complex variation landscape","type":"article-journal","volume":"7"},"uris":["http://www.mendeley.com/documents/?uuid=1dde8606-f40c-39aa-bc92-4a914e40fde9"]}],"mendeley":{"formattedCitation":"[28]","plainTextFormattedCitation":"[28]","previouslyFormattedCitation":"[28]"},"properties":{"noteIndex":0},"schema":"https://github.com/citation-style-language/schema/raw/master/csl-citation.json"}</w:instrText>
      </w:r>
      <w:r>
        <w:rPr>
          <w:rFonts w:ascii="Calibri" w:eastAsia="Calibri" w:hAnsi="Calibri" w:cs="Calibri"/>
          <w:lang w:val="en-US"/>
        </w:rPr>
        <w:fldChar w:fldCharType="end"/>
      </w:r>
      <w:r w:rsidRPr="001F6920">
        <w:rPr>
          <w:rFonts w:ascii="Calibri" w:eastAsia="Calibri" w:hAnsi="Calibri" w:cs="Calibri"/>
          <w:lang w:val="en-US"/>
        </w:rPr>
        <w:t xml:space="preserve"> in blood or tissue when available and validated by Sanger sequencing in all primary cultures established. In mosaic patients, a deep sequencing with a &gt;</w:t>
      </w:r>
      <w:r>
        <w:rPr>
          <w:rFonts w:ascii="Calibri" w:eastAsia="Calibri" w:hAnsi="Calibri" w:cs="Calibri"/>
          <w:lang w:val="en-US"/>
        </w:rPr>
        <w:t>700</w:t>
      </w:r>
      <w:r w:rsidRPr="001F6920">
        <w:rPr>
          <w:rFonts w:ascii="Calibri" w:eastAsia="Calibri" w:hAnsi="Calibri" w:cs="Calibri"/>
          <w:lang w:val="en-US"/>
        </w:rPr>
        <w:t xml:space="preserve"> depth of coverage was performed in primary culture fibroblasts. </w:t>
      </w:r>
      <w:r>
        <w:rPr>
          <w:rFonts w:ascii="Calibri" w:eastAsia="Calibri" w:hAnsi="Calibri" w:cs="Calibri"/>
          <w:lang w:val="en-US"/>
        </w:rPr>
        <w:t xml:space="preserve">Only </w:t>
      </w:r>
      <w:r w:rsidRPr="001F6920">
        <w:rPr>
          <w:rFonts w:ascii="Calibri" w:eastAsia="Calibri" w:hAnsi="Calibri" w:cs="Calibri"/>
          <w:lang w:val="en-US"/>
        </w:rPr>
        <w:t xml:space="preserve">variants </w:t>
      </w:r>
      <w:r>
        <w:rPr>
          <w:rFonts w:ascii="Calibri" w:eastAsia="Calibri" w:hAnsi="Calibri" w:cs="Calibri"/>
          <w:lang w:val="en-US"/>
        </w:rPr>
        <w:t>detected above 5% of the cells were considered</w:t>
      </w:r>
      <w:r w:rsidRPr="001F6920">
        <w:rPr>
          <w:rFonts w:ascii="Calibri" w:eastAsia="Calibri" w:hAnsi="Calibri" w:cs="Calibri"/>
          <w:lang w:val="en-US"/>
        </w:rPr>
        <w:t xml:space="preserve">. </w:t>
      </w:r>
    </w:p>
    <w:p w:rsidR="00330CA9" w:rsidRDefault="00330CA9" w:rsidP="00330CA9">
      <w:pPr>
        <w:spacing w:before="240"/>
        <w:ind w:right="-1"/>
        <w:jc w:val="both"/>
        <w:rPr>
          <w:rFonts w:ascii="Calibri" w:eastAsia="Calibri" w:hAnsi="Calibri" w:cs="Calibri"/>
          <w:b/>
          <w:lang w:val="en-US"/>
        </w:rPr>
      </w:pPr>
      <w:r w:rsidRPr="001F6920">
        <w:rPr>
          <w:rFonts w:ascii="Calibri" w:eastAsia="Calibri" w:hAnsi="Calibri" w:cs="Calibri"/>
          <w:b/>
          <w:lang w:val="en-US"/>
        </w:rPr>
        <w:t>Functional assay, Western Blot analysis:</w:t>
      </w:r>
      <w:r w:rsidRPr="001F6920">
        <w:rPr>
          <w:rFonts w:ascii="Calibri" w:eastAsia="Calibri" w:hAnsi="Calibri" w:cs="Calibri"/>
          <w:lang w:val="en-US"/>
        </w:rPr>
        <w:t xml:space="preserve"> Merlin’s downstream pathways were analyzed in</w:t>
      </w:r>
      <w:r w:rsidRPr="00B0686A">
        <w:rPr>
          <w:rFonts w:ascii="Calibri" w:eastAsia="Calibri" w:hAnsi="Calibri" w:cs="Calibri"/>
          <w:lang w:val="en-US"/>
        </w:rPr>
        <w:t xml:space="preserve"> 27 out of 30</w:t>
      </w:r>
      <w:r w:rsidRPr="001F6920">
        <w:rPr>
          <w:rFonts w:ascii="Calibri" w:eastAsia="Calibri" w:hAnsi="Calibri" w:cs="Calibri"/>
          <w:lang w:val="en-US"/>
        </w:rPr>
        <w:t xml:space="preserve"> NF2 patients included in the validation of the Genetic Severity Score. We obtained cultured fibroblasts from skin biopsies that were processes as described in</w:t>
      </w:r>
      <w:r>
        <w:rPr>
          <w:rFonts w:ascii="Calibri" w:eastAsia="Calibri" w:hAnsi="Calibri" w:cs="Calibri"/>
          <w:lang w:val="en-US"/>
        </w:rPr>
        <w:t xml:space="preserve"> </w:t>
      </w:r>
      <w:r>
        <w:rPr>
          <w:rFonts w:ascii="Calibri" w:eastAsia="Calibri" w:hAnsi="Calibri" w:cs="Calibri"/>
          <w:lang w:val="en-US"/>
        </w:rPr>
        <w:fldChar w:fldCharType="begin" w:fldLock="1"/>
      </w:r>
      <w:r>
        <w:rPr>
          <w:rFonts w:ascii="Calibri" w:eastAsia="Calibri" w:hAnsi="Calibri" w:cs="Calibri"/>
          <w:lang w:val="en-US"/>
        </w:rPr>
        <w:instrText xml:space="preserve">ADDIN CSL_CITATION {"citationItems":[{"id":"ITEM-1","itemData":{"DOI":"10.1038/ejhg.2012.261","ISSN":"1476-5438","PMID":"23188051","abstract":"Neurofibromatosis type 2 (NF2) is an autosomal-dominant disorder affecting about 1:33 000 newborns, mainly characterized by the development of tumors of the nervous system and ocular abnormalities. Around 85% of germline NF2 mutations are point mutations. Among them, </w:instrText>
      </w:r>
      <w:r>
        <w:rPr>
          <w:rFonts w:ascii="Cambria Math" w:eastAsia="Calibri" w:hAnsi="Cambria Math" w:cs="Cambria Math"/>
          <w:lang w:val="en-US"/>
        </w:rPr>
        <w:instrText>∼</w:instrText>
      </w:r>
      <w:r>
        <w:rPr>
          <w:rFonts w:ascii="Calibri" w:eastAsia="Calibri" w:hAnsi="Calibri" w:cs="Calibri"/>
          <w:lang w:val="en-US"/>
        </w:rPr>
        <w:instrText>25% affect splicing and are associated with a variable disease severity. In the context of our NF2 Multidisciplinary Clinics, we have identified a patient fulfilling clinical criteria for the disease and exhibiting a severe phenotype. The patient carries a deep intronic mutation (g. 74409T&gt;A, NG_009057.1) that produces the insertion of a cryptic exon of 167pb in the mature mRNA between exons 13 and 14, resulting in a truncated merlin protein (p.Pro482Profs*39). A mutation-specific antisense phosphorodiamidate morpholino oligomer was designed and used in vitro to effectively restore normal NF2 splicing in patient-derived primary fibroblasts. In addition, merlin protein levels were greatly recovered after morpholino treatment, decreasing patient's fibroblasts in vitro proliferation capacity and restoring cytoeskeleton organization. To our knowledge, this is the first NF2 case caused by a deep intronic mutation in which an in vitro antisense therapeutic approximation has been tested. These results open the possibility of using this approach in vivo for this type of mutation causing NF2.","author":[{"dropping-particle":"","family":"Castellanos","given":"Elisabeth","non-dropping-particle":"","parse-names":false,"suffix":""},{"dropping-particle":"","family":"Rosas","given":"Imma","non-dropping-particle":"","parse-names":false,"suffix":""},{"dropping-particle":"","family":"Solanes","given":"Ares","non-dropping-particle":"","parse-names":false,"suffix":""},{"dropping-particle":"","family":"Bielsa","given":"Isabel","non-dropping-particle":"","parse-names":false,"suffix":""},{"dropping-particle":"","family":"Lázaro","given":"Conxi","non-dropping-particle":"","parse-names":false,"suffix":""},{"dropping-particle":"","family":"Carrato","given":"Cristina","non-dropping-particle":"","parse-names":false,"suffix":""},{"dropping-particle":"","family":"Hostalot","given":"Cristina","non-dropping-particle":"","parse-names":false,"suffix":""},{"dropping-particle":"","family":"Prades","given":"Pepe","non-dropping-particle":"","parse-names":false,"suffix":""},{"dropping-particle":"","family":"Roca-Ribas","given":"Francesc","non-dropping-particle":"","parse-names":false,"suffix":""},{"dropping-particle":"","family":"Blanco","given":"Ignacio","non-dropping-particle":"","parse-names":false,"suffix":""},{"dropping-particle":"","family":"Serra","given":"Eduard","non-dropping-particle":"","parse-names":false,"suffix":""}],"container-title":"European journal of human genetics : EJHG","id":"ITEM-1","issue":"7","issued":{"date-parts":[["2013","7"]]},"page":"769-73","title":"In vitro antisense therapeutics for a deep intronic mutation causing Neurofibromatosis type 2.","type":"article-journal","volume":"21"},"uris":["http://www.mendeley.com/documents/?uuid=c89fa342-8ccf-48df-99a2-a0c8261c738c"]}],"mendeley":{"formattedCitation":"[29]","plainTextFormattedCitation":"[29]","previouslyFormattedCitation":"[29]"},"properties":{"noteIndex":0},"schema":"https://github.com/citation-style-language/schema/raw/master/csl-citation.json"}</w:instrText>
      </w:r>
      <w:r>
        <w:rPr>
          <w:rFonts w:ascii="Calibri" w:eastAsia="Calibri" w:hAnsi="Calibri" w:cs="Calibri"/>
          <w:lang w:val="en-US"/>
        </w:rPr>
        <w:fldChar w:fldCharType="separate"/>
      </w:r>
      <w:r w:rsidRPr="00614AE6">
        <w:rPr>
          <w:rFonts w:ascii="Calibri" w:eastAsia="Calibri" w:hAnsi="Calibri" w:cs="Calibri"/>
          <w:noProof/>
          <w:lang w:val="en-US"/>
        </w:rPr>
        <w:t>[29]</w:t>
      </w:r>
      <w:r>
        <w:rPr>
          <w:rFonts w:ascii="Calibri" w:eastAsia="Calibri" w:hAnsi="Calibri" w:cs="Calibri"/>
          <w:lang w:val="en-US"/>
        </w:rPr>
        <w:fldChar w:fldCharType="end"/>
      </w:r>
      <w:r w:rsidRPr="001F6920">
        <w:rPr>
          <w:rFonts w:ascii="Calibri" w:eastAsia="Calibri" w:hAnsi="Calibri" w:cs="Calibri"/>
          <w:lang w:val="en-US"/>
        </w:rPr>
        <w:t xml:space="preserve">. 50 µg of protein extracted from these primary cultures at 50%, </w:t>
      </w:r>
      <w:r w:rsidRPr="001F6920">
        <w:rPr>
          <w:rFonts w:ascii="Calibri" w:eastAsia="Calibri" w:hAnsi="Calibri" w:cs="Calibri"/>
          <w:highlight w:val="white"/>
          <w:lang w:val="en-US"/>
        </w:rPr>
        <w:t xml:space="preserve">80% and 100% </w:t>
      </w:r>
      <w:r>
        <w:rPr>
          <w:rFonts w:ascii="Calibri" w:eastAsia="Calibri" w:hAnsi="Calibri" w:cs="Calibri"/>
          <w:highlight w:val="white"/>
          <w:lang w:val="en-US"/>
        </w:rPr>
        <w:t xml:space="preserve">of </w:t>
      </w:r>
      <w:r w:rsidRPr="001F6920">
        <w:rPr>
          <w:rFonts w:ascii="Calibri" w:eastAsia="Calibri" w:hAnsi="Calibri" w:cs="Calibri"/>
          <w:highlight w:val="white"/>
          <w:lang w:val="en-US"/>
        </w:rPr>
        <w:t>confluence</w:t>
      </w:r>
      <w:r w:rsidRPr="001F6920">
        <w:rPr>
          <w:rFonts w:ascii="Calibri" w:eastAsia="Calibri" w:hAnsi="Calibri" w:cs="Calibri"/>
          <w:lang w:val="en-US"/>
        </w:rPr>
        <w:t xml:space="preserve"> was load to SDS-PAGE (150V) and transferred onto PVDF membranes (1 hour 350 mA at 4</w:t>
      </w:r>
      <w:r w:rsidRPr="001F6920">
        <w:rPr>
          <w:rFonts w:ascii="Calibri" w:eastAsia="Calibri" w:hAnsi="Calibri" w:cs="Calibri"/>
          <w:vertAlign w:val="superscript"/>
          <w:lang w:val="en-US"/>
        </w:rPr>
        <w:t>o</w:t>
      </w:r>
      <w:r w:rsidRPr="001F6920">
        <w:rPr>
          <w:rFonts w:ascii="Calibri" w:eastAsia="Calibri" w:hAnsi="Calibri" w:cs="Calibri"/>
          <w:lang w:val="en-US"/>
        </w:rPr>
        <w:t xml:space="preserve">C). Odyssey Blocking Buffer TBS (LI-COR) was used to block the resulting membranes. </w:t>
      </w:r>
      <w:r w:rsidRPr="00B0686A">
        <w:rPr>
          <w:rFonts w:ascii="Calibri" w:eastAsia="Calibri" w:hAnsi="Calibri" w:cs="Calibri"/>
          <w:lang w:val="en-US"/>
        </w:rPr>
        <w:t>Three</w:t>
      </w:r>
      <w:r w:rsidRPr="001F6920">
        <w:rPr>
          <w:rFonts w:ascii="Calibri" w:eastAsia="Calibri" w:hAnsi="Calibri" w:cs="Calibri"/>
          <w:lang w:val="en-US"/>
        </w:rPr>
        <w:t xml:space="preserve"> primary cultures from healthy donors were included as control samples (Ctrl1, Ctrl2 and Ctrl3). When grouping for the statistical studies, it has been taken into account the control healthy donors and the mosaics as a control group, since none of these show the constitutional </w:t>
      </w:r>
      <w:r w:rsidRPr="001F6920">
        <w:rPr>
          <w:rFonts w:ascii="Calibri" w:eastAsia="Calibri" w:hAnsi="Calibri" w:cs="Calibri"/>
          <w:i/>
          <w:lang w:val="en-US"/>
        </w:rPr>
        <w:t xml:space="preserve">NF2 </w:t>
      </w:r>
      <w:r w:rsidRPr="001F6920">
        <w:rPr>
          <w:rFonts w:ascii="Calibri" w:eastAsia="Calibri" w:hAnsi="Calibri" w:cs="Calibri"/>
          <w:lang w:val="en-US"/>
        </w:rPr>
        <w:t>mutation in the analyzed tissue. Primary antibodies were incubated at 4</w:t>
      </w:r>
      <w:r w:rsidRPr="001F6920">
        <w:rPr>
          <w:rFonts w:ascii="Calibri" w:eastAsia="Calibri" w:hAnsi="Calibri" w:cs="Calibri"/>
          <w:vertAlign w:val="superscript"/>
          <w:lang w:val="en-US"/>
        </w:rPr>
        <w:t>o</w:t>
      </w:r>
      <w:r w:rsidRPr="001F6920">
        <w:rPr>
          <w:rFonts w:ascii="Calibri" w:eastAsia="Calibri" w:hAnsi="Calibri" w:cs="Calibri"/>
          <w:lang w:val="en-US"/>
        </w:rPr>
        <w:t>C overnight. Membranes were later incubated with IRDye 680LT and IRDye 800CW secondary antibodies (1:1000 dilution</w:t>
      </w:r>
      <w:r w:rsidRPr="001F6920">
        <w:rPr>
          <w:rFonts w:ascii="Calibri" w:eastAsia="Calibri" w:hAnsi="Calibri" w:cs="Calibri"/>
          <w:color w:val="943634"/>
          <w:lang w:val="en-US"/>
        </w:rPr>
        <w:t>,</w:t>
      </w:r>
      <w:r w:rsidRPr="001F6920">
        <w:rPr>
          <w:rFonts w:ascii="Calibri" w:eastAsia="Calibri" w:hAnsi="Calibri" w:cs="Calibri"/>
          <w:lang w:val="en-US"/>
        </w:rPr>
        <w:t xml:space="preserve"> LI-COR) for 1h at room temperature and scanned and analyzed using the Odyssey Infrared Imaging System (LI-COR). The statistical threshold that allows the differentiation between healthy controls or mosaic patients and the patients in group 3 (severe) is established through the ±2SD limits method. </w:t>
      </w:r>
      <w:r w:rsidRPr="00F457F2">
        <w:rPr>
          <w:rFonts w:ascii="Calibri" w:eastAsia="Calibri" w:hAnsi="Calibri" w:cs="Calibri"/>
          <w:b/>
          <w:lang w:val="en-US"/>
        </w:rPr>
        <w:t xml:space="preserve"> </w:t>
      </w:r>
    </w:p>
    <w:p w:rsidR="00330CA9" w:rsidRPr="001F6920" w:rsidRDefault="00330CA9" w:rsidP="00330CA9">
      <w:pPr>
        <w:spacing w:before="240"/>
        <w:ind w:right="-1"/>
        <w:jc w:val="both"/>
        <w:rPr>
          <w:b/>
          <w:lang w:val="en-US"/>
        </w:rPr>
      </w:pPr>
      <w:r w:rsidRPr="001F6920">
        <w:rPr>
          <w:rFonts w:ascii="Calibri" w:eastAsia="Calibri" w:hAnsi="Calibri" w:cs="Calibri"/>
          <w:b/>
          <w:lang w:val="en-US"/>
        </w:rPr>
        <w:t>Primary antibodies:</w:t>
      </w:r>
      <w:r w:rsidRPr="001F6920">
        <w:rPr>
          <w:rFonts w:ascii="Calibri" w:eastAsia="Calibri" w:hAnsi="Calibri" w:cs="Calibri"/>
          <w:lang w:val="en-US"/>
        </w:rPr>
        <w:t xml:space="preserve"> </w:t>
      </w:r>
      <w:r w:rsidRPr="001F6920">
        <w:rPr>
          <w:rFonts w:ascii="Calibri" w:eastAsia="Calibri" w:hAnsi="Calibri" w:cs="Calibri"/>
          <w:b/>
          <w:lang w:val="en-US"/>
        </w:rPr>
        <w:t>α-pERK</w:t>
      </w:r>
      <w:r w:rsidRPr="001F6920">
        <w:rPr>
          <w:rFonts w:ascii="Calibri" w:eastAsia="Calibri" w:hAnsi="Calibri" w:cs="Calibri"/>
          <w:lang w:val="en-US"/>
        </w:rPr>
        <w:t>: phospho-p44/42; APK (Erk1/2) (Thr202/Tyr204) (E10) #9106 α-</w:t>
      </w:r>
      <w:r w:rsidRPr="003143FA">
        <w:rPr>
          <w:rFonts w:ascii="Calibri" w:eastAsia="Calibri" w:hAnsi="Calibri" w:cs="Calibri"/>
          <w:lang w:val="en-US"/>
        </w:rPr>
        <w:t>mouse (Cell Signaling Technology),</w:t>
      </w:r>
      <w:r w:rsidRPr="001F6920">
        <w:rPr>
          <w:rFonts w:ascii="Calibri" w:eastAsia="Calibri" w:hAnsi="Calibri" w:cs="Calibri"/>
          <w:lang w:val="en-US"/>
        </w:rPr>
        <w:t xml:space="preserve"> </w:t>
      </w:r>
      <w:r w:rsidRPr="001F6920">
        <w:rPr>
          <w:rFonts w:ascii="Calibri" w:eastAsia="Calibri" w:hAnsi="Calibri" w:cs="Calibri"/>
          <w:b/>
          <w:lang w:val="en-US"/>
        </w:rPr>
        <w:t>α-ERK</w:t>
      </w:r>
      <w:r w:rsidRPr="001F6920">
        <w:rPr>
          <w:rFonts w:ascii="Calibri" w:eastAsia="Calibri" w:hAnsi="Calibri" w:cs="Calibri"/>
          <w:lang w:val="en-US"/>
        </w:rPr>
        <w:t xml:space="preserve">: p44/42; APK (Erk1/2) Antibody #9102 – α – </w:t>
      </w:r>
      <w:r w:rsidRPr="003143FA">
        <w:rPr>
          <w:rFonts w:ascii="Calibri" w:eastAsia="Calibri" w:hAnsi="Calibri" w:cs="Calibri"/>
          <w:lang w:val="en-US"/>
        </w:rPr>
        <w:t>rabbit (Cell Signaling Technology</w:t>
      </w:r>
      <w:r w:rsidRPr="001F6920">
        <w:rPr>
          <w:rFonts w:ascii="Calibri" w:eastAsia="Calibri" w:hAnsi="Calibri" w:cs="Calibri"/>
          <w:lang w:val="en-US"/>
        </w:rPr>
        <w:t xml:space="preserve">, </w:t>
      </w:r>
      <w:r w:rsidRPr="001F6920">
        <w:rPr>
          <w:rFonts w:ascii="Calibri" w:eastAsia="Calibri" w:hAnsi="Calibri" w:cs="Calibri"/>
          <w:b/>
          <w:lang w:val="en-US"/>
        </w:rPr>
        <w:t xml:space="preserve">α-pAKT: </w:t>
      </w:r>
      <w:r w:rsidRPr="001F6920">
        <w:rPr>
          <w:rFonts w:ascii="Calibri" w:eastAsia="Calibri" w:hAnsi="Calibri" w:cs="Calibri"/>
          <w:lang w:val="en-US"/>
        </w:rPr>
        <w:t>Phosph</w:t>
      </w:r>
      <w:r>
        <w:rPr>
          <w:rFonts w:ascii="Calibri" w:eastAsia="Calibri" w:hAnsi="Calibri" w:cs="Calibri"/>
          <w:lang w:val="en-US"/>
        </w:rPr>
        <w:t xml:space="preserve">o Akt (Ser 473) (587F11) Mouse </w:t>
      </w:r>
      <w:r w:rsidRPr="001F6920">
        <w:rPr>
          <w:rFonts w:ascii="Calibri" w:eastAsia="Calibri" w:hAnsi="Calibri" w:cs="Calibri"/>
          <w:lang w:val="en-US"/>
        </w:rPr>
        <w:t>ab #</w:t>
      </w:r>
      <w:r w:rsidRPr="003143FA">
        <w:rPr>
          <w:rFonts w:ascii="Calibri" w:eastAsia="Calibri" w:hAnsi="Calibri" w:cs="Calibri"/>
          <w:lang w:val="en-US"/>
        </w:rPr>
        <w:t>4051 α-mouse (Cell Signaling Technology),</w:t>
      </w:r>
      <w:r w:rsidRPr="001F6920">
        <w:rPr>
          <w:rFonts w:ascii="Calibri" w:eastAsia="Calibri" w:hAnsi="Calibri" w:cs="Calibri"/>
          <w:lang w:val="en-US"/>
        </w:rPr>
        <w:t xml:space="preserve"> </w:t>
      </w:r>
      <w:r w:rsidRPr="001F6920">
        <w:rPr>
          <w:rFonts w:ascii="Calibri" w:eastAsia="Calibri" w:hAnsi="Calibri" w:cs="Calibri"/>
          <w:b/>
          <w:lang w:val="en-US"/>
        </w:rPr>
        <w:t>α-AKT</w:t>
      </w:r>
      <w:r w:rsidRPr="001F6920">
        <w:rPr>
          <w:rFonts w:ascii="Calibri" w:eastAsia="Calibri" w:hAnsi="Calibri" w:cs="Calibri"/>
          <w:lang w:val="en-US"/>
        </w:rPr>
        <w:t xml:space="preserve"> Akt Antibody #9272– α </w:t>
      </w:r>
      <w:r w:rsidRPr="003143FA">
        <w:rPr>
          <w:rFonts w:ascii="Calibri" w:eastAsia="Calibri" w:hAnsi="Calibri" w:cs="Calibri"/>
          <w:lang w:val="en-US"/>
        </w:rPr>
        <w:t>–rabbit (Cell Signaling Technology,</w:t>
      </w:r>
      <w:r w:rsidRPr="001F6920">
        <w:rPr>
          <w:rFonts w:ascii="Calibri" w:eastAsia="Calibri" w:hAnsi="Calibri" w:cs="Calibri"/>
          <w:b/>
          <w:lang w:val="en-US"/>
        </w:rPr>
        <w:t xml:space="preserve"> α-pNF2: </w:t>
      </w:r>
      <w:r w:rsidRPr="001F6920">
        <w:rPr>
          <w:rFonts w:ascii="Calibri" w:eastAsia="Calibri" w:hAnsi="Calibri" w:cs="Calibri"/>
          <w:lang w:val="en-US"/>
        </w:rPr>
        <w:t>Phospho NF2/Merlin (phospho S518) antibody (ab131473) α</w:t>
      </w:r>
      <w:r w:rsidRPr="003143FA">
        <w:rPr>
          <w:rFonts w:ascii="Calibri" w:eastAsia="Calibri" w:hAnsi="Calibri" w:cs="Calibri"/>
          <w:lang w:val="en-US"/>
        </w:rPr>
        <w:t>-rabbit (Abcam),</w:t>
      </w:r>
      <w:r w:rsidRPr="001F6920">
        <w:rPr>
          <w:rFonts w:ascii="Calibri" w:eastAsia="Calibri" w:hAnsi="Calibri" w:cs="Calibri"/>
          <w:b/>
          <w:lang w:val="en-US"/>
        </w:rPr>
        <w:t xml:space="preserve"> α-NF2: </w:t>
      </w:r>
      <w:r w:rsidRPr="001F6920">
        <w:rPr>
          <w:rFonts w:ascii="Calibri" w:eastAsia="Calibri" w:hAnsi="Calibri" w:cs="Calibri"/>
          <w:lang w:val="en-US"/>
        </w:rPr>
        <w:t xml:space="preserve">NF2/Merlin antibody (ab88957) </w:t>
      </w:r>
      <w:r w:rsidRPr="003143FA">
        <w:rPr>
          <w:rFonts w:ascii="Calibri" w:eastAsia="Calibri" w:hAnsi="Calibri" w:cs="Calibri"/>
          <w:lang w:val="en-US"/>
        </w:rPr>
        <w:t>α-mouse (Abcam),</w:t>
      </w:r>
      <w:r w:rsidRPr="001F6920">
        <w:rPr>
          <w:rFonts w:ascii="Calibri" w:eastAsia="Calibri" w:hAnsi="Calibri" w:cs="Calibri"/>
          <w:b/>
          <w:lang w:val="en-US"/>
        </w:rPr>
        <w:t xml:space="preserve"> α -PAK1: </w:t>
      </w:r>
      <w:r w:rsidRPr="001F6920">
        <w:rPr>
          <w:rFonts w:ascii="Calibri" w:eastAsia="Calibri" w:hAnsi="Calibri" w:cs="Calibri"/>
          <w:lang w:val="en-US"/>
        </w:rPr>
        <w:t xml:space="preserve">Anti-PAK1 antibody (ab154284) </w:t>
      </w:r>
      <w:r w:rsidRPr="003143FA">
        <w:rPr>
          <w:rFonts w:ascii="Calibri" w:eastAsia="Calibri" w:hAnsi="Calibri" w:cs="Calibri"/>
          <w:lang w:val="en-US"/>
        </w:rPr>
        <w:t>α-rabbit (Abcam),</w:t>
      </w:r>
      <w:r w:rsidRPr="001F6920">
        <w:rPr>
          <w:rFonts w:ascii="Calibri" w:eastAsia="Calibri" w:hAnsi="Calibri" w:cs="Calibri"/>
          <w:b/>
          <w:lang w:val="en-US"/>
        </w:rPr>
        <w:t xml:space="preserve"> α -RAC1: </w:t>
      </w:r>
      <w:r w:rsidRPr="001F6920">
        <w:rPr>
          <w:rFonts w:ascii="Calibri" w:eastAsia="Calibri" w:hAnsi="Calibri" w:cs="Calibri"/>
          <w:lang w:val="en-US"/>
        </w:rPr>
        <w:t>Anti-RAC1 antibody (ab33186)</w:t>
      </w:r>
      <w:r w:rsidRPr="003143FA">
        <w:rPr>
          <w:rFonts w:ascii="Calibri" w:eastAsia="Calibri" w:hAnsi="Calibri" w:cs="Calibri"/>
          <w:lang w:val="en-US"/>
        </w:rPr>
        <w:t xml:space="preserve"> α-mouse (Abcam),</w:t>
      </w:r>
      <w:r w:rsidRPr="001F6920">
        <w:rPr>
          <w:rFonts w:ascii="Calibri" w:eastAsia="Calibri" w:hAnsi="Calibri" w:cs="Calibri"/>
          <w:lang w:val="en-US"/>
        </w:rPr>
        <w:t xml:space="preserve"> </w:t>
      </w:r>
      <w:r w:rsidRPr="001F6920">
        <w:rPr>
          <w:rFonts w:ascii="Calibri" w:eastAsia="Calibri" w:hAnsi="Calibri" w:cs="Calibri"/>
          <w:b/>
          <w:lang w:val="en-US"/>
        </w:rPr>
        <w:t>α-pYAP1</w:t>
      </w:r>
      <w:r w:rsidRPr="001F6920">
        <w:rPr>
          <w:rFonts w:ascii="Calibri" w:eastAsia="Calibri" w:hAnsi="Calibri" w:cs="Calibri"/>
          <w:lang w:val="en-US"/>
        </w:rPr>
        <w:t xml:space="preserve">: anti-YAP1 (phospho S127) antibody [EP1675Y] (ab76252) </w:t>
      </w:r>
      <w:r w:rsidRPr="003143FA">
        <w:rPr>
          <w:rFonts w:ascii="Calibri" w:eastAsia="Calibri" w:hAnsi="Calibri" w:cs="Calibri"/>
          <w:lang w:val="en-US"/>
        </w:rPr>
        <w:t>– α – rabbit (Abcam),</w:t>
      </w:r>
      <w:r w:rsidRPr="001F6920">
        <w:rPr>
          <w:rFonts w:ascii="Calibri" w:eastAsia="Calibri" w:hAnsi="Calibri" w:cs="Calibri"/>
          <w:lang w:val="en-US"/>
        </w:rPr>
        <w:t xml:space="preserve"> </w:t>
      </w:r>
      <w:r w:rsidRPr="001F6920">
        <w:rPr>
          <w:rFonts w:ascii="Calibri" w:eastAsia="Calibri" w:hAnsi="Calibri" w:cs="Calibri"/>
          <w:b/>
          <w:lang w:val="en-US"/>
        </w:rPr>
        <w:t>α-YAP1</w:t>
      </w:r>
      <w:r w:rsidRPr="001F6920">
        <w:rPr>
          <w:rFonts w:ascii="Calibri" w:eastAsia="Calibri" w:hAnsi="Calibri" w:cs="Calibri"/>
          <w:lang w:val="en-US"/>
        </w:rPr>
        <w:t xml:space="preserve">: anti-YAP1 antibody (ab56701) – α </w:t>
      </w:r>
      <w:r w:rsidRPr="003143FA">
        <w:rPr>
          <w:rFonts w:ascii="Calibri" w:eastAsia="Calibri" w:hAnsi="Calibri" w:cs="Calibri"/>
          <w:lang w:val="en-US"/>
        </w:rPr>
        <w:t>– mouse (Abcam),</w:t>
      </w:r>
      <w:r w:rsidRPr="001F6920">
        <w:rPr>
          <w:rFonts w:ascii="Calibri" w:eastAsia="Calibri" w:hAnsi="Calibri" w:cs="Calibri"/>
          <w:lang w:val="en-US"/>
        </w:rPr>
        <w:t xml:space="preserve"> </w:t>
      </w:r>
      <w:r w:rsidRPr="001F6920">
        <w:rPr>
          <w:rFonts w:ascii="Calibri" w:eastAsia="Calibri" w:hAnsi="Calibri" w:cs="Calibri"/>
          <w:b/>
          <w:lang w:val="en-US"/>
        </w:rPr>
        <w:t xml:space="preserve">α-pPKA: </w:t>
      </w:r>
      <w:r w:rsidRPr="001F6920">
        <w:rPr>
          <w:rFonts w:ascii="Calibri" w:eastAsia="Calibri" w:hAnsi="Calibri" w:cs="Calibri"/>
          <w:lang w:val="en-US"/>
        </w:rPr>
        <w:t xml:space="preserve">Phospho PKA. Anti PKA alpha+beta (phospho T197) antibody (ab5815) – α </w:t>
      </w:r>
      <w:r w:rsidRPr="003143FA">
        <w:rPr>
          <w:rFonts w:ascii="Calibri" w:eastAsia="Calibri" w:hAnsi="Calibri" w:cs="Calibri"/>
          <w:lang w:val="en-US"/>
        </w:rPr>
        <w:t xml:space="preserve">– rabbit (Abcam), </w:t>
      </w:r>
      <w:r w:rsidRPr="001F6920">
        <w:rPr>
          <w:rFonts w:ascii="Calibri" w:eastAsia="Calibri" w:hAnsi="Calibri" w:cs="Calibri"/>
          <w:b/>
          <w:lang w:val="en-US"/>
        </w:rPr>
        <w:t xml:space="preserve">α-PKA: </w:t>
      </w:r>
      <w:r w:rsidRPr="001F6920">
        <w:rPr>
          <w:rFonts w:ascii="Calibri" w:eastAsia="Calibri" w:hAnsi="Calibri" w:cs="Calibri"/>
          <w:lang w:val="en-US"/>
        </w:rPr>
        <w:t xml:space="preserve">PKA C alpha beta antibody Clone #515741 (MAB5908) – α – </w:t>
      </w:r>
      <w:r w:rsidRPr="003143FA">
        <w:rPr>
          <w:rFonts w:ascii="Calibri" w:eastAsia="Calibri" w:hAnsi="Calibri" w:cs="Calibri"/>
          <w:lang w:val="en-US"/>
        </w:rPr>
        <w:t>mouse (Abcam).</w:t>
      </w:r>
      <w:r w:rsidRPr="001F6920">
        <w:rPr>
          <w:rFonts w:ascii="Calibri" w:eastAsia="Calibri" w:hAnsi="Calibri" w:cs="Calibri"/>
          <w:lang w:val="en-US"/>
        </w:rPr>
        <w:t xml:space="preserve"> </w:t>
      </w:r>
      <w:r w:rsidRPr="001F6920">
        <w:rPr>
          <w:rFonts w:ascii="Calibri" w:eastAsia="Calibri" w:hAnsi="Calibri" w:cs="Calibri"/>
          <w:b/>
          <w:lang w:val="en-US"/>
        </w:rPr>
        <w:t xml:space="preserve">α-vinculin: </w:t>
      </w:r>
      <w:r w:rsidRPr="001F6920">
        <w:rPr>
          <w:rFonts w:ascii="Calibri" w:eastAsia="Calibri" w:hAnsi="Calibri" w:cs="Calibri"/>
          <w:lang w:val="en-US"/>
        </w:rPr>
        <w:t xml:space="preserve">anti-vinculin antibody [EPR8185] (ab129002) – </w:t>
      </w:r>
      <w:r w:rsidRPr="003143FA">
        <w:rPr>
          <w:rFonts w:ascii="Calibri" w:eastAsia="Calibri" w:hAnsi="Calibri" w:cs="Calibri"/>
          <w:lang w:val="en-US"/>
        </w:rPr>
        <w:t>α – rabbit (Abcam</w:t>
      </w:r>
      <w:r>
        <w:rPr>
          <w:rFonts w:ascii="Calibri" w:eastAsia="Calibri" w:hAnsi="Calibri" w:cs="Calibri"/>
          <w:lang w:val="en-US"/>
        </w:rPr>
        <w:t xml:space="preserve">) </w:t>
      </w:r>
      <w:r w:rsidRPr="001F6920">
        <w:rPr>
          <w:rFonts w:ascii="Calibri" w:eastAsia="Calibri" w:hAnsi="Calibri" w:cs="Calibri"/>
          <w:lang w:val="en-US"/>
        </w:rPr>
        <w:t>was used to normalize protein expression among samples</w:t>
      </w:r>
    </w:p>
    <w:p w:rsidR="00330CA9" w:rsidRDefault="00330CA9" w:rsidP="00330CA9">
      <w:pPr>
        <w:spacing w:before="240" w:after="240"/>
        <w:ind w:right="-1"/>
        <w:jc w:val="both"/>
        <w:rPr>
          <w:rFonts w:ascii="Calibri" w:eastAsia="Calibri" w:hAnsi="Calibri" w:cs="Calibri"/>
          <w:lang w:val="en-US"/>
        </w:rPr>
      </w:pPr>
      <w:r>
        <w:rPr>
          <w:rFonts w:ascii="Calibri" w:eastAsia="Calibri" w:hAnsi="Calibri" w:cs="Calibri"/>
          <w:b/>
          <w:lang w:val="en-US"/>
        </w:rPr>
        <w:t>NF2 phenotype quantification</w:t>
      </w:r>
      <w:r w:rsidRPr="001F6920">
        <w:rPr>
          <w:rFonts w:ascii="Calibri" w:eastAsia="Calibri" w:hAnsi="Calibri" w:cs="Calibri"/>
          <w:lang w:val="en-US"/>
        </w:rPr>
        <w:t>: Clinical phenotype was recorded as follows: age of diagnosis was rated as 3 if it was before 25 years, 2 between 25 and 35 years and 1 if patient was diagnosed after 35; the presence of peripheral and vestibular schwannomas were punctuate as 0, 1 or 2 if they were absent, unique or multiple, while extravestibular lesions were score between 1 if we detected single intracranial or intra</w:t>
      </w:r>
      <w:r>
        <w:rPr>
          <w:rFonts w:ascii="Calibri" w:eastAsia="Calibri" w:hAnsi="Calibri" w:cs="Calibri"/>
          <w:lang w:val="en-US"/>
        </w:rPr>
        <w:t>-</w:t>
      </w:r>
      <w:r w:rsidRPr="001F6920">
        <w:rPr>
          <w:rFonts w:ascii="Calibri" w:eastAsia="Calibri" w:hAnsi="Calibri" w:cs="Calibri"/>
          <w:lang w:val="en-US"/>
        </w:rPr>
        <w:t>spinal lesion, 2 if the patients showed multiple intracranial or intra</w:t>
      </w:r>
      <w:r>
        <w:rPr>
          <w:rFonts w:ascii="Calibri" w:eastAsia="Calibri" w:hAnsi="Calibri" w:cs="Calibri"/>
          <w:lang w:val="en-US"/>
        </w:rPr>
        <w:t>-</w:t>
      </w:r>
      <w:r w:rsidRPr="001F6920">
        <w:rPr>
          <w:rFonts w:ascii="Calibri" w:eastAsia="Calibri" w:hAnsi="Calibri" w:cs="Calibri"/>
          <w:lang w:val="en-US"/>
        </w:rPr>
        <w:t>spinal schwannomas or meningiomas, or 3 when patient developed multiple intra</w:t>
      </w:r>
      <w:r>
        <w:rPr>
          <w:rFonts w:ascii="Calibri" w:eastAsia="Calibri" w:hAnsi="Calibri" w:cs="Calibri"/>
          <w:lang w:val="en-US"/>
        </w:rPr>
        <w:t>-</w:t>
      </w:r>
      <w:r w:rsidRPr="001F6920">
        <w:rPr>
          <w:rFonts w:ascii="Calibri" w:eastAsia="Calibri" w:hAnsi="Calibri" w:cs="Calibri"/>
          <w:lang w:val="en-US"/>
        </w:rPr>
        <w:t>spinal or intracerebral different lesion types or multiple intra</w:t>
      </w:r>
      <w:r>
        <w:rPr>
          <w:rFonts w:ascii="Calibri" w:eastAsia="Calibri" w:hAnsi="Calibri" w:cs="Calibri"/>
          <w:lang w:val="en-US"/>
        </w:rPr>
        <w:t>-</w:t>
      </w:r>
      <w:r w:rsidRPr="001F6920">
        <w:rPr>
          <w:rFonts w:ascii="Calibri" w:eastAsia="Calibri" w:hAnsi="Calibri" w:cs="Calibri"/>
          <w:lang w:val="en-US"/>
        </w:rPr>
        <w:t>spinal and intracerebral schwannomas or meningiomas (</w:t>
      </w:r>
      <w:r w:rsidRPr="00B0686A">
        <w:rPr>
          <w:rFonts w:ascii="Calibri" w:eastAsia="Calibri" w:hAnsi="Calibri" w:cs="Calibri"/>
          <w:lang w:val="en-US"/>
        </w:rPr>
        <w:t>Supplementary</w:t>
      </w:r>
      <w:r>
        <w:rPr>
          <w:rFonts w:ascii="Calibri" w:eastAsia="Calibri" w:hAnsi="Calibri" w:cs="Calibri"/>
          <w:lang w:val="en-US"/>
        </w:rPr>
        <w:t xml:space="preserve"> Table 3)</w:t>
      </w:r>
      <w:r w:rsidRPr="001F6920">
        <w:rPr>
          <w:rFonts w:ascii="Calibri" w:eastAsia="Calibri" w:hAnsi="Calibri" w:cs="Calibri"/>
          <w:lang w:val="en-US"/>
        </w:rPr>
        <w:t>.</w:t>
      </w:r>
    </w:p>
    <w:p w:rsidR="00330CA9" w:rsidRPr="001F6920" w:rsidRDefault="00330CA9" w:rsidP="00330CA9">
      <w:pPr>
        <w:spacing w:before="240" w:after="240"/>
        <w:ind w:right="-1"/>
        <w:jc w:val="both"/>
        <w:rPr>
          <w:rFonts w:ascii="Calibri" w:eastAsia="Calibri" w:hAnsi="Calibri" w:cs="Calibri"/>
          <w:lang w:val="en-US"/>
        </w:rPr>
      </w:pPr>
      <w:r w:rsidRPr="009923BE">
        <w:rPr>
          <w:rFonts w:ascii="Calibri" w:eastAsia="Calibri" w:hAnsi="Calibri" w:cs="Calibri"/>
          <w:b/>
          <w:lang w:val="en-US"/>
        </w:rPr>
        <w:t>NF2 pathogenic variant score</w:t>
      </w:r>
      <w:r w:rsidRPr="001F6920">
        <w:rPr>
          <w:rFonts w:ascii="Calibri" w:eastAsia="Calibri" w:hAnsi="Calibri" w:cs="Calibri"/>
          <w:lang w:val="en-US"/>
        </w:rPr>
        <w:t xml:space="preserve">: </w:t>
      </w:r>
      <w:r>
        <w:rPr>
          <w:rFonts w:ascii="Calibri" w:eastAsia="Calibri" w:hAnsi="Calibri" w:cs="Calibri"/>
          <w:lang w:val="en-US"/>
        </w:rPr>
        <w:t>T</w:t>
      </w:r>
      <w:r w:rsidRPr="001F6920">
        <w:rPr>
          <w:rFonts w:ascii="Calibri" w:eastAsia="Calibri" w:hAnsi="Calibri" w:cs="Calibri"/>
          <w:lang w:val="en-US"/>
        </w:rPr>
        <w:t xml:space="preserve">runcating mutations in exons 2-13 were scored 6, missense and in frame deletions as 3, presumed mosaics or patients carrying a Ring22 as 1. </w:t>
      </w:r>
      <w:r>
        <w:rPr>
          <w:rFonts w:ascii="Calibri" w:eastAsia="Calibri" w:hAnsi="Calibri" w:cs="Calibri"/>
          <w:lang w:val="en-US"/>
        </w:rPr>
        <w:t>B</w:t>
      </w:r>
      <w:r w:rsidRPr="001F6920">
        <w:rPr>
          <w:rFonts w:ascii="Calibri" w:eastAsia="Calibri" w:hAnsi="Calibri" w:cs="Calibri"/>
          <w:lang w:val="en-US"/>
        </w:rPr>
        <w:t xml:space="preserve">ased in </w:t>
      </w:r>
      <w:r w:rsidRPr="001F6920">
        <w:rPr>
          <w:rFonts w:ascii="Calibri" w:eastAsia="Calibri" w:hAnsi="Calibri" w:cs="Calibri"/>
          <w:lang w:val="en-US"/>
        </w:rPr>
        <w:fldChar w:fldCharType="begin" w:fldLock="1"/>
      </w:r>
      <w:r>
        <w:rPr>
          <w:rFonts w:ascii="Calibri" w:eastAsia="Calibri" w:hAnsi="Calibri" w:cs="Calibri"/>
          <w:lang w:val="en-US"/>
        </w:rPr>
        <w:instrText>ADDIN CSL_CITATION {"citationItems":[{"id":"ITEM-1","itemData":{"DOI":"10.1136/jmedgenet-2017-104519","ISSN":"14686244","PMID":"28848060","abstract":"Background The clinical severity of disease in NF2 is variable. Patients affected with a constitutional truncating NF2 mutation have severe disease, while missense mutations or mosaic mutations present with a milder attenuated phenotype. Genotype derived natural history data is important to inform discussions on prognosis and management.Methods We have assessed NF2 clinical phenotype in 142 patients in relation to the UK NF2 Genetic Severity Score to validate its use as a clinical and research tool.  Results The genetic severity score showed significant correlations across ten measures including mean age at diagnosis, proportion of patients with bilateral vestibular schwannomas, presence of intracranial meningioma, spinal meningioma and spinal schwannoma, NF2 eye features, hearing grade, age at first radiotherapy, age at first surgery and age starting Bevacuzimab. In addition there was moderate but significant correlation with age at loss of useful hearing, and weak but significant correlations for mean age at death, quality of life, last optimum SDS score, and total number of major interventions. Patients with severe disease presented at a younger age, had a higher disease burden and greater requirement of intervention than patients with mild and moderate disease.ConclusionsThis study validates the UK NF2 genetic severity score to stratify NF2 patients for both clinical use and natural history studies.","author":[{"dropping-particle":"","family":"Halliday","given":"Dorothy","non-dropping-particle":"","parse-names":false,"suffix":""},{"dropping-particle":"","family":"Emmanouil","given":"Beatrice","non-dropping-particle":"","parse-names":false,"suffix":""},{"dropping-particle":"","family":"Pretorius","given":"Pieter","non-dropping-particle":"","parse-names":false,"suffix":""},{"dropping-particle":"","family":"MacKeith","given":"Samuel","non-dropping-particle":"","parse-names":false,"suffix":""},{"dropping-particle":"","family":"Painter","given":"Sally","non-dropping-particle":"","parse-names":false,"suffix":""},{"dropping-particle":"","family":"Tomkins","given":"Helen","non-dropping-particle":"","parse-names":false,"suffix":""},{"dropping-particle":"","family":"Evans","given":"D. Gareth","non-dropping-particle":"","parse-names":false,"suffix":""},{"dropping-particle":"","family":"Parry","given":"Allyson","non-dropping-particle":"","parse-names":false,"suffix":""}],"container-title":"Journal of Medical Genetics","id":"ITEM-1","issue":"10","issued":{"date-parts":[["2017"]]},"page":"657-664","title":"Genetic severity score predicts clinical phenotype in NF2","type":"article-journal","volume":"54"},"uris":["http://www.mendeley.com/documents/?uuid=879836f7-0627-4957-8261-245133ebf4f0"]},{"id":"ITEM-2","itemData":{"DOI":"10.1086/422700","ISSN":"00029297","abstract":"Neurofibromatosis 2 (NF2) is an autosomal dominant disease that is characterized by tumors on the vestibular branch of the VIII cranial nerve, but other types of nervous system tumors usually occur as well. Genotype-phenotype correlations are well documented for overall NF2 disease severity but have not been definitively evaluated for specific types of non-VIII nerve tumors. We evaluated genotype-phenotype correlations for various types of non-VIII nerve tumors in 406 patients from the population-based United Kingdom NF2 registry, using regression models with the additional covariates of current age and type of treatment center (specialty or nonspecialty). The models also permitted consideration of intrafamilial correlation. We found statistically significant genotype-phenotype correlations for intracranial meningiomas, spinal tumors, and peripheral nerve tumors. People with constitutional NF2 missense mutations, splice-site mutations, large deletions, or somatic mosaicism had significantly fewer tumors than did people with constitutional nonsense or frameshift NF2 mutations. In addition, there were significant intrafamilial correlations for intracranial meningiomas and spinal tumors, after adjustment for the type of constitutional NF2 mutation. The type of constitutional NF2 mutation is an important determinant of the number of NF2-associated intracranial meningiomas, spinal tumors, and peripheral nerve tumors.","author":[{"dropping-particle":"","family":"Baser","given":"Michael E.","non-dropping-particle":"","parse-names":false,"suffix":""},{"dropping-particle":"","family":"Kuramoto","given":"Lisa","non-dropping-particle":"","parse-names":false,"suffix":""},{"dropping-particle":"","family":"Joe","given":"Harry","non-dropping-particle":"","parse-names":false,"suffix":""},{"dropping-particle":"","family":"Friedman","given":"J.M.","non-dropping-particle":"","parse-names":false,"suffix":""},{"dropping-particle":"","family":"Wallace","given":"Andrew J.","non-dropping-particle":"","parse-names":false,"suffix":""},{"dropping-particle":"","family":"Gillespie","given":"James E.","non-dropping-particle":"","parse-names":false,"suffix":""},{"dropping-particle":"","family":"Ramsden","given":"Richard T.","non-dropping-particle":"","parse-names":false,"suffix":""},{"dropping-particle":"","family":"Evans","given":"D. Gareth R.","non-dropping-particle":"","parse-names":false,"suffix":""}],"container-title":"The American Journal of Human Genetics","id":"ITEM-2","issue":"2","issued":{"date-parts":[["2004","8"]]},"page":"231-239","publisher":"University of Chicago Press","title":"Genotype-Phenotype Correlations for Nervous System Tumors in Neurofibromatosis 2: A Population-Based Study","type":"article-journal","volume":"75"},"uris":["http://www.mendeley.com/documents/?uuid=9625be0b-68d3-3273-b2cb-4e9c9d94a555"]},{"id":"ITEM-3","itemData":{"DOI":"10.1111/j.1399-0004.2011.01816.x","author":[{"dropping-particle":"","family":"Dg","given":"Evans","non-dropping-particle":"","parse-names":false,"suffix":""},{"dropping-particle":"","family":"Fl","given":"Raymond","non-dropping-particle":"","parse-names":false,"suffix":""},{"dropping-particle":"","family":"Jg","given":"Barwell","non-dropping-particle":"","parse-names":false,"suffix":""},{"dropping-particle":"","family":"Genetic","given":"Halliday D","non-dropping-particle":"","parse-names":false,"suffix":""}],"id":"ITEM-3","issue":"2","issued":{"date-parts":[["2011"]]},"page":"1-9","title":"Genetic testing and screening of individuals at risk of NF2","type":"article-journal"},"uris":["http://www.mendeley.com/documents/?uuid=80bf586f-a7a5-4b36-a5b0-a1bec101e20e"]},{"id":"ITEM-4","itemData":{"DOI":"10.1002/(SICI)1096-8628(19980518)77:3&lt;228::AID-AJMG8&gt;3.0.CO;2-L","ISSN":"01487299","PMID":"9605590","abstract":"Neurofibromatosis type 2 (NF2) is an autosomal dominant disorder caused by mutations in the NF2 gene. Patients carrying NF2 mutations are predisposed to cerebral and spinal tumors with bilateral vestibular schwannomas as the hallmark. Using single strand conformation polymorphism and temperature gradient gel electrophoresis analysis, we have screened 87 unrelated NF2 patients for mutations in the NF2 gene. In this study, we report phenotypes associated with 14 splice-site mutations carried by 14 propositi and 11 relatives. The mutations were distributed in exons 2, 3, 5, 7, 8, 14, and 15. These splice-site mutations were associated with various phenotypes, from severe to asymptomatic. Phenotypic variation was also observed within families. Mutations downstream from exon 8 resulted more often in mild phenotypes. No meningiomas were found in any of 13 affected or mutation bearing individuals from three families with splice-site mutations of exons 14 and 15. These data suggest that splice-site alteration is a relatively common cause of NF2, and that unlike other mutations the clinical outcomes of splice-site mutations in the NF2 gene are variable. These results add to the growing body of information on genotype-phenotype correlation in NF2.","author":[{"dropping-particle":"","family":"Kluwe","given":"Lan","non-dropping-particle":"","parse-names":false,"suffix":""},{"dropping-particle":"","family":"MacCollin","given":"Mia","non-dropping-particle":"","parse-names":false,"suffix":""},{"dropping-particle":"","family":"Tatagiba","given":"Marcos","non-dropping-particle":"","parse-names":false,"suffix":""},{"dropping-particle":"","family":"Thomas","given":"Sebastian","non-dropping-particle":"","parse-names":false,"suffix":""},{"dropping-particle":"","family":"Hazim","given":"Wasim","non-dropping-particle":"","parse-names":false,"suffix":""},{"dropping-particle":"","family":"Haase","given":"Wolfgang","non-dropping-particle":"","parse-names":false,"suffix":""},{"dropping-particle":"","family":"Mautner","given":"Victor F.","non-dropping-particle":"","parse-names":false,"suffix":""}],"container-title":"American Journal of Medical Genetics","id":"ITEM-4","issue":"3","issued":{"date-parts":[["1998","5","18"]]},"page":"228-233","publisher":"Am J Med Genet","title":"Phenotypic variability associated with 14 splice-site mutations in the NF2 gene","type":"article-journal","volume":"77"},"uris":["http://www.mendeley.com/documents/?uuid=31386954-d63f-3134-8505-b16c456e6377"]}],"mendeley":{"formattedCitation":"[7,10,14,41]","plainTextFormattedCitation":"[7,10,14,41]","previouslyFormattedCitation":"[7,10,14,41]"},"properties":{"noteIndex":0},"schema":"https://github.com/citation-style-language/schema/raw/master/csl-citation.json"}</w:instrText>
      </w:r>
      <w:r w:rsidRPr="001F6920">
        <w:rPr>
          <w:rFonts w:ascii="Calibri" w:eastAsia="Calibri" w:hAnsi="Calibri" w:cs="Calibri"/>
          <w:lang w:val="en-US"/>
        </w:rPr>
        <w:fldChar w:fldCharType="separate"/>
      </w:r>
      <w:r w:rsidRPr="00614AE6">
        <w:rPr>
          <w:rFonts w:ascii="Calibri" w:eastAsia="Calibri" w:hAnsi="Calibri" w:cs="Calibri"/>
          <w:noProof/>
          <w:lang w:val="en-US"/>
        </w:rPr>
        <w:t>[7,10,14,41]</w:t>
      </w:r>
      <w:r w:rsidRPr="001F6920">
        <w:rPr>
          <w:rFonts w:ascii="Calibri" w:eastAsia="Calibri" w:hAnsi="Calibri" w:cs="Calibri"/>
          <w:lang w:val="en-US"/>
        </w:rPr>
        <w:fldChar w:fldCharType="end"/>
      </w:r>
      <w:r w:rsidRPr="001F6920">
        <w:rPr>
          <w:rFonts w:ascii="Calibri" w:eastAsia="Calibri" w:hAnsi="Calibri" w:cs="Calibri"/>
          <w:lang w:val="en-US"/>
        </w:rPr>
        <w:t xml:space="preserve">, the predicted effect of </w:t>
      </w:r>
      <w:r w:rsidRPr="001F6920">
        <w:rPr>
          <w:rFonts w:ascii="Calibri" w:eastAsia="Calibri" w:hAnsi="Calibri" w:cs="Calibri"/>
          <w:i/>
          <w:lang w:val="en-US"/>
        </w:rPr>
        <w:t xml:space="preserve">NF2 </w:t>
      </w:r>
      <w:r w:rsidRPr="001F6920">
        <w:rPr>
          <w:rFonts w:ascii="Calibri" w:eastAsia="Calibri" w:hAnsi="Calibri" w:cs="Calibri"/>
          <w:lang w:val="en-US"/>
        </w:rPr>
        <w:t xml:space="preserve">mutation in Merlin’s function, and our observations in the phenotype shown by patients harboring mutations in the most terminal region of the gene and the results from the pERK functional </w:t>
      </w:r>
      <w:r w:rsidRPr="001F6920">
        <w:rPr>
          <w:rFonts w:ascii="Calibri" w:eastAsia="Calibri" w:hAnsi="Calibri" w:cs="Calibri"/>
          <w:lang w:val="en-US"/>
        </w:rPr>
        <w:lastRenderedPageBreak/>
        <w:t xml:space="preserve">analysis, we decided to rate differently when mutations are located in first exons, as Merlin could start its translation using another methionine, or if the variant does not alter </w:t>
      </w:r>
      <w:r w:rsidRPr="001F6920">
        <w:rPr>
          <w:rFonts w:ascii="Calibri" w:eastAsia="Calibri" w:hAnsi="Calibri" w:cs="Calibri"/>
          <w:i/>
          <w:lang w:val="en-US"/>
        </w:rPr>
        <w:t xml:space="preserve">NF2 </w:t>
      </w:r>
      <w:r w:rsidRPr="001F6920">
        <w:rPr>
          <w:rFonts w:ascii="Calibri" w:eastAsia="Calibri" w:hAnsi="Calibri" w:cs="Calibri"/>
          <w:lang w:val="en-US"/>
        </w:rPr>
        <w:t>reading frame because some Merlin residual function could be maintained. In addition, it was also considered when the variant affects exon 14 or the followings due to its association to good prognosis</w:t>
      </w:r>
      <w:r>
        <w:rPr>
          <w:rFonts w:ascii="Calibri" w:eastAsia="Calibri" w:hAnsi="Calibri" w:cs="Calibri"/>
          <w:lang w:val="en-US"/>
        </w:rPr>
        <w:t xml:space="preserve"> (</w:t>
      </w:r>
      <w:r w:rsidRPr="00B0686A">
        <w:rPr>
          <w:rFonts w:ascii="Calibri" w:eastAsia="Calibri" w:hAnsi="Calibri" w:cs="Calibri"/>
          <w:lang w:val="en-US"/>
        </w:rPr>
        <w:t xml:space="preserve">Supplementary Table </w:t>
      </w:r>
      <w:r>
        <w:rPr>
          <w:rFonts w:ascii="Calibri" w:eastAsia="Calibri" w:hAnsi="Calibri" w:cs="Calibri"/>
          <w:lang w:val="en-US"/>
        </w:rPr>
        <w:t>4)</w:t>
      </w:r>
      <w:r>
        <w:rPr>
          <w:rFonts w:ascii="Calibri" w:hAnsi="Calibri" w:cs="Calibri"/>
          <w:color w:val="000000"/>
          <w:lang w:val="en-US"/>
        </w:rPr>
        <w:t xml:space="preserve"> </w:t>
      </w:r>
      <w:r>
        <w:rPr>
          <w:rFonts w:ascii="Calibri" w:hAnsi="Calibri" w:cs="Calibri"/>
          <w:color w:val="000000"/>
          <w:lang w:val="en-US"/>
        </w:rPr>
        <w:fldChar w:fldCharType="begin" w:fldLock="1"/>
      </w:r>
      <w:r>
        <w:rPr>
          <w:rFonts w:ascii="Calibri" w:hAnsi="Calibri" w:cs="Calibri"/>
          <w:color w:val="000000"/>
          <w:lang w:val="en-US"/>
        </w:rPr>
        <w:instrText>ADDIN CSL_CITATION {"citationItems":[{"id":"ITEM-1","itemData":{"DOI":"10.1002/(SICI)1096-8628(19980518)77:3&lt;228::AID-AJMG8&gt;3.0.CO;2-L","ISBN":"0148-7299","ISSN":"01487299","PMID":"9605590","abstract":"Neurofibromatosis type 2 (NF2) is an autosomal dominant disorder caused by mutations in the NF2 gene. Patients carrying NF2 mutations are predisposed to cerebral and spinal tumors with bilateral vestibular schwannomas as the hallmark. Using single strand conformation polymorphism and temperature gradient gel electrophoresis analysis, we have screened 87 unrelated NF2 patients for mutations in the NF2 gene. In this study, we report phenotypes associated with 14 splice-site mutations carried by 14 propositi and 11 relatives. The mutations were distributed in exons 2, 3, 5, 7, 8, 14, and 15. These splice-site mutations were associated with various phenotypes, from severe to asymptomatic. Phenotypic variation was also observed within families. Mutations downstream from exon 8 resulted more often in mild phenotypes. No meningiomas were found in any of 13 affected or mutation bearing individuals from three families with splice-site mutations of exons 14 and 15. These data suggest that splice-site alteration is a relatively common cause of NF2, and that unlike other mutations the clinical outcomes of splice-site mutations in the NF2 gene are variable. These results add to the growing body of information on genotype-phenotype correlation in NF2.","author":[{"dropping-particle":"","family":"Kluwe","given":"Lan","non-dropping-particle":"","parse-names":false,"suffix":""},{"dropping-particle":"","family":"MacCollin","given":"Mia","non-dropping-particle":"","parse-names":false,"suffix":""},{"dropping-particle":"","family":"Tatagiba","given":"Marcos","non-dropping-particle":"","parse-names":false,"suffix":""},{"dropping-particle":"","family":"Thomas","given":"Sebastian","non-dropping-particle":"","parse-names":false,"suffix":""},{"dropping-particle":"","family":"Hazim","given":"Wasim","non-dropping-particle":"","parse-names":false,"suffix":""},{"dropping-particle":"","family":"Haase","given":"Wolfgang","non-dropping-particle":"","parse-names":false,"suffix":""},{"dropping-particle":"","family":"Mautner","given":"Victor F.","non-dropping-particle":"","parse-names":false,"suffix":""}],"container-title":"American Journal of Medical Genetics","id":"ITEM-1","issue":"3","issued":{"date-parts":[["1998"]]},"page":"228-233","title":"Phenotypic variability associated with 14 splice-site mutations in the NF2 gene","type":"article-journal","volume":"77"},"uris":["http://www.mendeley.com/documents/?uuid=ee7ed927-64c0-4666-be5e-e15a3541b450"]},{"id":"ITEM-2","itemData":{"DOI":"10.1086/422700","ISSN":"00029297","abstract":"Neurofibromatosis 2 (NF2) is an autosomal dominant disease that is characterized by tumors on the vestibular branch of the VIII cranial nerve, but other types of nervous system tumors usually occur as well. Genotype-phenotype correlations are well documented for overall NF2 disease severity but have not been definitively evaluated for specific types of non-VIII nerve tumors. We evaluated genotype-phenotype correlations for various types of non-VIII nerve tumors in 406 patients from the population-based United Kingdom NF2 registry, using regression models with the additional covariates of current age and type of treatment center (specialty or nonspecialty). The models also permitted consideration of intrafamilial correlation. We found statistically significant genotype-phenotype correlations for intracranial meningiomas, spinal tumors, and peripheral nerve tumors. People with constitutional NF2 missense mutations, splice-site mutations, large deletions, or somatic mosaicism had significantly fewer tumors than did people with constitutional nonsense or frameshift NF2 mutations. In addition, there were significant intrafamilial correlations for intracranial meningiomas and spinal tumors, after adjustment for the type of constitutional NF2 mutation. The type of constitutional NF2 mutation is an important determinant of the number of NF2-associated intracranial meningiomas, spinal tumors, and peripheral nerve tumors.","author":[{"dropping-particle":"","family":"Baser","given":"Michael E.","non-dropping-particle":"","parse-names":false,"suffix":""},{"dropping-particle":"","family":"Kuramoto","given":"Lisa","non-dropping-particle":"","parse-names":false,"suffix":""},{"dropping-particle":"","family":"Joe","given":"Harry","non-dropping-particle":"","parse-names":false,"suffix":""},{"dropping-particle":"","family":"Friedman","given":"J.M.","non-dropping-particle":"","parse-names":false,"suffix":""},{"dropping-particle":"","family":"Wallace","given":"Andrew J.","non-dropping-particle":"","parse-names":false,"suffix":""},{"dropping-particle":"","family":"Gillespie","given":"James E.","non-dropping-particle":"","parse-names":false,"suffix":""},{"dropping-particle":"","family":"Ramsden","given":"Richard T.","non-dropping-particle":"","parse-names":false,"suffix":""},{"dropping-particle":"","family":"Evans","given":"D. Gareth R.","non-dropping-particle":"","parse-names":false,"suffix":""}],"container-title":"The American Journal of Human Genetics","id":"ITEM-2","issue":"2","issued":{"date-parts":[["2004","8"]]},"page":"231-239","publisher":"University of Chicago Press","title":"Genotype-Phenotype Correlations for Nervous System Tumors in Neurofibromatosis 2: A Population-Based Study","type":"article-journal","volume":"75"},"uris":["http://www.mendeley.com/documents/?uuid=9625be0b-68d3-3273-b2cb-4e9c9d94a555"]}],"mendeley":{"formattedCitation":"[7,8]","plainTextFormattedCitation":"[7,8]","previouslyFormattedCitation":"[7,8]"},"properties":{"noteIndex":0},"schema":"https://github.com/citation-style-language/schema/raw/master/csl-citation.json"}</w:instrText>
      </w:r>
      <w:r>
        <w:rPr>
          <w:rFonts w:ascii="Calibri" w:hAnsi="Calibri" w:cs="Calibri"/>
          <w:color w:val="000000"/>
          <w:lang w:val="en-US"/>
        </w:rPr>
        <w:fldChar w:fldCharType="separate"/>
      </w:r>
      <w:r w:rsidRPr="00614AE6">
        <w:rPr>
          <w:rFonts w:ascii="Calibri" w:hAnsi="Calibri" w:cs="Calibri"/>
          <w:noProof/>
          <w:color w:val="000000"/>
          <w:lang w:val="en-US"/>
        </w:rPr>
        <w:t>[7,8]</w:t>
      </w:r>
      <w:r>
        <w:rPr>
          <w:rFonts w:ascii="Calibri" w:hAnsi="Calibri" w:cs="Calibri"/>
          <w:color w:val="000000"/>
          <w:lang w:val="en-US"/>
        </w:rPr>
        <w:fldChar w:fldCharType="end"/>
      </w:r>
      <w:r w:rsidRPr="001F6920">
        <w:rPr>
          <w:rFonts w:ascii="Calibri" w:eastAsia="Calibri" w:hAnsi="Calibri" w:cs="Calibri"/>
          <w:lang w:val="en-US"/>
        </w:rPr>
        <w:t xml:space="preserve">. </w:t>
      </w:r>
      <w:r w:rsidRPr="001F6920">
        <w:rPr>
          <w:rFonts w:ascii="Calibri" w:hAnsi="Calibri" w:cs="Calibri"/>
          <w:color w:val="000000"/>
          <w:lang w:val="en-US"/>
        </w:rPr>
        <w:t>In addition, without more evidences, we scored all missense variants as 3, since in our functional assays and as published before</w:t>
      </w:r>
      <w:r>
        <w:rPr>
          <w:rFonts w:ascii="Calibri" w:hAnsi="Calibri" w:cs="Calibri"/>
          <w:color w:val="000000"/>
          <w:lang w:val="en-US"/>
        </w:rPr>
        <w:t xml:space="preserve"> </w:t>
      </w:r>
      <w:r>
        <w:rPr>
          <w:rFonts w:ascii="Calibri" w:hAnsi="Calibri" w:cs="Calibri"/>
          <w:color w:val="000000"/>
          <w:lang w:val="en-US"/>
        </w:rPr>
        <w:fldChar w:fldCharType="begin" w:fldLock="1"/>
      </w:r>
      <w:r>
        <w:rPr>
          <w:rFonts w:ascii="Calibri" w:hAnsi="Calibri" w:cs="Calibri"/>
          <w:color w:val="000000"/>
          <w:lang w:val="en-US"/>
        </w:rPr>
        <w:instrText>ADDIN CSL_CITATION {"citationItems":[{"id":"ITEM-1","itemData":{"DOI":"10.1073/pnas.1102198108","ISSN":"1091-6490","PMID":"21383154","abstract":"Neurofibromatosis type 2 (NF2) is a multiple neoplasia syndrome and is caused by a mutation of the NF2 tumor suppressor gene that encodes for the tumor suppressor protein merlin. Biallelic NF2 gene inactivation results in the development of central nervous system tumors, including schwannomas, meningiomas, ependymomas, and astrocytomas. Although a wide variety of missense germline mutations in the coding sequences of the NF2 gene can cause loss of merlin function, the mechanism of this functional loss is unknown. To gain insight into the mechanisms underlying loss of merlin function in NF2, we investigated mutated merlin homeostasis and function in NF2-associated tumors and cell lines. Quantitative protein and RT-PCR analysis revealed that whereas merlin protein expression was significantly reduced in NF2-associated tumors, mRNA expression levels were unchanged. Transfection of genetic constructs of common NF2 missense mutations into NF2 gene-deficient meningioma cell lines revealed that merlin loss of function is due to a reduction in mutant protein half-life and increased protein degradation. Transfection analysis also demonstrated that recovery of tumor suppressor protein function is possible, indicating that these mutants maintain intrinsic functional capacity. Further, increased expression of mutant protein is possible after treatment with specific proteostasis regulators, implicating protein quality control systems in the degradative fate of mutant tumor suppressor proteins. These findings provide direct insight into protein function and tumorigenesis in NF2 and indicate a unique treatment paradigm for this disorder.","author":[{"dropping-particle":"","family":"Yang","given":"Chunzhang","non-dropping-particle":"","parse-names":false,"suffix":""},{"dropping-particle":"","family":"Asthagiri","given":"Ashok R","non-dropping-particle":"","parse-names":false,"suffix":""},{"dropping-particle":"","family":"Iyer","given":"Rajiv R","non-dropping-particle":"","parse-names":false,"suffix":""},{"dropping-particle":"","family":"Lu","given":"Jie","non-dropping-particle":"","parse-names":false,"suffix":""},{"dropping-particle":"","family":"Xu","given":"David S","non-dropping-particle":"","parse-names":false,"suffix":""},{"dropping-particle":"","family":"Ksendzovsky","given":"Alexander","non-dropping-particle":"","parse-names":false,"suffix":""},{"dropping-particle":"","family":"Brady","given":"Roscoe O","non-dropping-particle":"","parse-names":false,"suffix":""},{"dropping-particle":"","family":"Zhuang","given":"Zhengping","non-dropping-particle":"","parse-names":false,"suffix":""},{"dropping-particle":"","family":"Lonser","given":"Russell R","non-dropping-particle":"","parse-names":false,"suffix":""}],"container-title":"Proceedings of the National Academy of Sciences of the United States of America","id":"ITEM-1","issue":"12","issued":{"date-parts":[["2011","3","22"]]},"page":"4980-5","title":"Missense mutations in the NF2 gene result in the quantitative loss of merlin protein and minimally affect protein intrinsic function.","type":"article-journal","volume":"108"},"uris":["http://www.mendeley.com/documents/?uuid=0d1cb171-b77b-4a46-8f23-7df5b08d1f04"]}],"mendeley":{"formattedCitation":"[42]","plainTextFormattedCitation":"[42]","previouslyFormattedCitation":"[42]"},"properties":{"noteIndex":0},"schema":"https://github.com/citation-style-language/schema/raw/master/csl-citation.json"}</w:instrText>
      </w:r>
      <w:r>
        <w:rPr>
          <w:rFonts w:ascii="Calibri" w:hAnsi="Calibri" w:cs="Calibri"/>
          <w:color w:val="000000"/>
          <w:lang w:val="en-US"/>
        </w:rPr>
        <w:fldChar w:fldCharType="separate"/>
      </w:r>
      <w:r w:rsidRPr="00614AE6">
        <w:rPr>
          <w:rFonts w:ascii="Calibri" w:hAnsi="Calibri" w:cs="Calibri"/>
          <w:noProof/>
          <w:color w:val="000000"/>
          <w:lang w:val="en-US"/>
        </w:rPr>
        <w:t>[42]</w:t>
      </w:r>
      <w:r>
        <w:rPr>
          <w:rFonts w:ascii="Calibri" w:hAnsi="Calibri" w:cs="Calibri"/>
          <w:color w:val="000000"/>
          <w:lang w:val="en-US"/>
        </w:rPr>
        <w:fldChar w:fldCharType="end"/>
      </w:r>
      <w:r>
        <w:rPr>
          <w:rFonts w:ascii="Calibri" w:hAnsi="Calibri" w:cs="Calibri"/>
          <w:color w:val="000000"/>
          <w:lang w:val="en-US"/>
        </w:rPr>
        <w:t xml:space="preserve">, </w:t>
      </w:r>
      <w:r w:rsidRPr="001F6920">
        <w:rPr>
          <w:rFonts w:ascii="Calibri" w:hAnsi="Calibri" w:cs="Calibri"/>
          <w:color w:val="000000"/>
          <w:lang w:val="en-US"/>
        </w:rPr>
        <w:t>missense mutations result in the quantitative loss of merlin proteins, and we assume they might minimally affect the intrinsic protein function unless when altering specific positions, which would be rated differently once demonstrated the association to a severe phenotype.</w:t>
      </w:r>
      <w:r w:rsidRPr="000964C1">
        <w:rPr>
          <w:rFonts w:ascii="Calibri" w:hAnsi="Calibri" w:cs="Calibri"/>
          <w:color w:val="000000"/>
          <w:lang w:val="en-US"/>
        </w:rPr>
        <w:t xml:space="preserve"> </w:t>
      </w:r>
      <w:r w:rsidRPr="001F6920">
        <w:rPr>
          <w:rFonts w:ascii="Calibri" w:hAnsi="Calibri" w:cs="Calibri"/>
          <w:color w:val="000000"/>
          <w:lang w:val="en-US"/>
        </w:rPr>
        <w:t>In contrast</w:t>
      </w:r>
      <w:r>
        <w:rPr>
          <w:rFonts w:ascii="Calibri" w:hAnsi="Calibri" w:cs="Calibri"/>
          <w:color w:val="000000"/>
          <w:lang w:val="en-US"/>
        </w:rPr>
        <w:t xml:space="preserve"> to GSS</w:t>
      </w:r>
      <w:r w:rsidRPr="001F6920">
        <w:rPr>
          <w:rFonts w:ascii="Calibri" w:hAnsi="Calibri" w:cs="Calibri"/>
          <w:color w:val="000000"/>
          <w:lang w:val="en-US"/>
        </w:rPr>
        <w:t>, we scored as less severe those splicing and copy number alterations (CNA) at exon level that do not alter the reading frame in comparison as those generating a frameshift alteration assuming that in frame alterations could generate an hypomorphic Merlin, but we do not consider differently when variants are located at exons 1-7 or 8-13.</w:t>
      </w:r>
      <w:r>
        <w:rPr>
          <w:rFonts w:ascii="Calibri" w:eastAsia="Calibri" w:hAnsi="Calibri" w:cs="Calibri"/>
          <w:lang w:val="en-US"/>
        </w:rPr>
        <w:t xml:space="preserve"> </w:t>
      </w:r>
      <w:r w:rsidRPr="001F6920">
        <w:rPr>
          <w:rFonts w:ascii="Calibri" w:eastAsia="Calibri" w:hAnsi="Calibri" w:cs="Calibri"/>
          <w:lang w:val="en-US"/>
        </w:rPr>
        <w:t xml:space="preserve">We also accounted generalized mosaicism if </w:t>
      </w:r>
      <w:r w:rsidRPr="001F6920">
        <w:rPr>
          <w:rFonts w:ascii="Calibri" w:eastAsia="Calibri" w:hAnsi="Calibri" w:cs="Calibri"/>
          <w:i/>
          <w:lang w:val="en-US"/>
        </w:rPr>
        <w:t xml:space="preserve">NF2 </w:t>
      </w:r>
      <w:r w:rsidRPr="001F6920">
        <w:rPr>
          <w:rFonts w:ascii="Calibri" w:eastAsia="Calibri" w:hAnsi="Calibri" w:cs="Calibri"/>
          <w:lang w:val="en-US"/>
        </w:rPr>
        <w:t>variant was detected in blood or unaffected tissue differently from tissue mosaicism if it was detected only in two independent tumors, since the affection degree could be different. Finally, patients with an inconclusive blood test without any tumor analyzed were considered presumed tissue mosaics and scored as 1 (</w:t>
      </w:r>
      <w:r w:rsidRPr="00B0686A">
        <w:rPr>
          <w:rFonts w:ascii="Calibri" w:eastAsia="Calibri" w:hAnsi="Calibri" w:cs="Calibri"/>
          <w:lang w:val="en-US"/>
        </w:rPr>
        <w:t>Table 3</w:t>
      </w:r>
      <w:r w:rsidRPr="001F6920">
        <w:rPr>
          <w:rFonts w:ascii="Calibri" w:eastAsia="Calibri" w:hAnsi="Calibri" w:cs="Calibri"/>
          <w:lang w:val="en-US"/>
        </w:rPr>
        <w:t xml:space="preserve">). </w:t>
      </w:r>
    </w:p>
    <w:p w:rsidR="00330CA9" w:rsidRPr="00D15262" w:rsidRDefault="00330CA9" w:rsidP="00330CA9">
      <w:pPr>
        <w:spacing w:before="240" w:after="240"/>
        <w:ind w:right="-1"/>
        <w:jc w:val="both"/>
        <w:rPr>
          <w:rFonts w:ascii="Calibri" w:hAnsi="Calibri" w:cs="Calibri"/>
          <w:color w:val="000000"/>
          <w:lang w:val="en-US"/>
        </w:rPr>
      </w:pPr>
      <w:r w:rsidRPr="001F6920">
        <w:rPr>
          <w:rFonts w:ascii="Calibri" w:eastAsia="Calibri" w:hAnsi="Calibri" w:cs="Calibri"/>
          <w:b/>
          <w:lang w:val="en-US"/>
        </w:rPr>
        <w:t xml:space="preserve">Statistics: </w:t>
      </w:r>
      <w:r w:rsidRPr="001F6920">
        <w:rPr>
          <w:rFonts w:ascii="Calibri" w:eastAsia="Calibri" w:hAnsi="Calibri" w:cs="Calibri"/>
          <w:lang w:val="en-US"/>
        </w:rPr>
        <w:t xml:space="preserve">All statistical analyses of the validation of the GSS were reproduced from the study of Halliday et al. </w:t>
      </w:r>
      <w:r w:rsidRPr="00D15262">
        <w:rPr>
          <w:rFonts w:ascii="Calibri" w:hAnsi="Calibri" w:cs="Calibri"/>
          <w:color w:val="000000"/>
          <w:lang w:val="en-US"/>
        </w:rPr>
        <w:t xml:space="preserve">Chi-square tests were performed to associate NF2 mutations with categorical phenotypical variables (i.e tumor load, ocular features, hearing outcomes and major interventions of the patients). Kruskal-Wallis test were performed to associate NF2 mutations with </w:t>
      </w:r>
      <w:r>
        <w:rPr>
          <w:rFonts w:ascii="Calibri" w:hAnsi="Calibri" w:cs="Calibri"/>
          <w:color w:val="000000"/>
          <w:lang w:val="en-US"/>
        </w:rPr>
        <w:t>qualitative</w:t>
      </w:r>
      <w:r w:rsidRPr="00D15262">
        <w:rPr>
          <w:rFonts w:ascii="Calibri" w:hAnsi="Calibri" w:cs="Calibri"/>
          <w:color w:val="000000"/>
          <w:lang w:val="en-US"/>
        </w:rPr>
        <w:t xml:space="preserve"> phenotypical variables</w:t>
      </w:r>
      <w:r>
        <w:rPr>
          <w:rFonts w:ascii="Calibri" w:hAnsi="Calibri" w:cs="Calibri"/>
          <w:color w:val="000000"/>
          <w:lang w:val="en-US"/>
        </w:rPr>
        <w:t xml:space="preserve"> transformed to categorical variables</w:t>
      </w:r>
      <w:r w:rsidRPr="00D15262">
        <w:rPr>
          <w:rFonts w:ascii="Calibri" w:hAnsi="Calibri" w:cs="Calibri"/>
          <w:color w:val="000000"/>
          <w:lang w:val="en-US"/>
        </w:rPr>
        <w:t xml:space="preserve"> (i.e. age at diagnosis). Principal component analysis (PCA) of age at diagnosis, extravestibular affection, vestibular and peripheral schwannomas was performed to explore variability of NF2 mutations of patients. </w:t>
      </w:r>
      <w:r w:rsidRPr="001F6920">
        <w:rPr>
          <w:rFonts w:ascii="Calibri" w:eastAsia="Calibri" w:hAnsi="Calibri" w:cs="Calibri"/>
          <w:lang w:val="en-US"/>
        </w:rPr>
        <w:t>In order to study differences between protein expression levels in the functional assay, Kruskal-Wallis and Mann-Whitney U statistical tests were performed among genetic severity groups and mutation classes. Fibroblast protein levels from healthy controls have been included in group 1 for the statistics analysis.</w:t>
      </w:r>
      <w:r>
        <w:rPr>
          <w:rFonts w:ascii="Calibri" w:eastAsia="Calibri" w:hAnsi="Calibri" w:cs="Calibri"/>
          <w:lang w:val="en-US"/>
        </w:rPr>
        <w:t xml:space="preserve"> </w:t>
      </w:r>
      <w:r w:rsidRPr="00D15262">
        <w:rPr>
          <w:rFonts w:ascii="Calibri" w:hAnsi="Calibri" w:cs="Calibri"/>
          <w:color w:val="000000"/>
          <w:lang w:val="en-US"/>
        </w:rPr>
        <w:t>Analysis of variance (ANOVA) of FGSS and NF2 mutations was performed to test differences of severity between NF2 mutations groups. Shapiro Wilk and Levene tests were applied for testing Normality of residuals and homoscedasticity of groups respectively. Backward stepwise regression analysis was performed to evaluate the contribution of Merlin and pERK levels in the ANOVA model.</w:t>
      </w:r>
      <w:r w:rsidRPr="001F453B">
        <w:rPr>
          <w:rFonts w:ascii="Calibri" w:eastAsia="Calibri" w:hAnsi="Calibri" w:cs="Calibri"/>
          <w:lang w:val="en-US"/>
        </w:rPr>
        <w:t xml:space="preserve"> </w:t>
      </w:r>
      <w:r w:rsidRPr="001F6920">
        <w:rPr>
          <w:rFonts w:ascii="Calibri" w:eastAsia="Calibri" w:hAnsi="Calibri" w:cs="Calibri"/>
          <w:lang w:val="en-US"/>
        </w:rPr>
        <w:t>Statistical analyses were performed using R software.</w:t>
      </w:r>
    </w:p>
    <w:p w:rsidR="00F3159F" w:rsidRDefault="00F3159F">
      <w:bookmarkStart w:id="0" w:name="_GoBack"/>
      <w:bookmarkEnd w:id="0"/>
    </w:p>
    <w:sectPr w:rsidR="00F3159F" w:rsidSect="003C5680">
      <w:pgSz w:w="11909" w:h="16834"/>
      <w:pgMar w:top="1440" w:right="1003" w:bottom="1440"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A9"/>
    <w:rsid w:val="00330CA9"/>
    <w:rsid w:val="00F315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D9551-7EBB-456F-A71A-5EF91EDB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0CA9"/>
    <w:pPr>
      <w:spacing w:after="0" w:line="276" w:lineRule="auto"/>
    </w:pPr>
    <w:rPr>
      <w:rFonts w:ascii="Arial" w:eastAsia="Arial" w:hAnsi="Arial" w:cs="Arial"/>
      <w:lang w:val="es-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5003</Words>
  <Characters>28523</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Castellanos Perez</dc:creator>
  <cp:keywords/>
  <dc:description/>
  <cp:lastModifiedBy>Elisabeth Castellanos Perez</cp:lastModifiedBy>
  <cp:revision>1</cp:revision>
  <dcterms:created xsi:type="dcterms:W3CDTF">2020-10-20T18:12:00Z</dcterms:created>
  <dcterms:modified xsi:type="dcterms:W3CDTF">2020-10-20T18:13:00Z</dcterms:modified>
</cp:coreProperties>
</file>