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A22CC" w14:textId="77777777" w:rsidR="009F2454" w:rsidRPr="00332D94" w:rsidRDefault="009F2454" w:rsidP="009F2454">
      <w:pPr>
        <w:spacing w:line="360" w:lineRule="auto"/>
        <w:rPr>
          <w:b/>
          <w:bCs/>
        </w:rPr>
      </w:pPr>
      <w:bookmarkStart w:id="0" w:name="OLE_LINK3"/>
      <w:r>
        <w:rPr>
          <w:b/>
          <w:bCs/>
        </w:rPr>
        <w:t xml:space="preserve">Percentage HScore confirms low incidence of secondary </w:t>
      </w:r>
      <w:proofErr w:type="spellStart"/>
      <w:r>
        <w:rPr>
          <w:b/>
          <w:bCs/>
        </w:rPr>
        <w:t>haemophagocytic</w:t>
      </w:r>
      <w:proofErr w:type="spellEnd"/>
      <w:r>
        <w:rPr>
          <w:b/>
          <w:bCs/>
        </w:rPr>
        <w:t xml:space="preserve"> </w:t>
      </w:r>
      <w:proofErr w:type="spellStart"/>
      <w:r>
        <w:rPr>
          <w:b/>
          <w:bCs/>
        </w:rPr>
        <w:t>lymphohistiocytosis</w:t>
      </w:r>
      <w:proofErr w:type="spellEnd"/>
      <w:r>
        <w:rPr>
          <w:b/>
          <w:bCs/>
        </w:rPr>
        <w:t xml:space="preserve"> in hospitalised COVID-19 patients</w:t>
      </w:r>
      <w:r w:rsidDel="0054329F">
        <w:rPr>
          <w:b/>
          <w:bCs/>
        </w:rPr>
        <w:t xml:space="preserve"> </w:t>
      </w:r>
    </w:p>
    <w:p w14:paraId="6775D5D5" w14:textId="77777777" w:rsidR="009F2454" w:rsidRDefault="009F2454" w:rsidP="009F2454">
      <w:pPr>
        <w:spacing w:line="360" w:lineRule="auto"/>
        <w:rPr>
          <w:vertAlign w:val="superscript"/>
        </w:rPr>
      </w:pPr>
      <w:r w:rsidRPr="0036308D">
        <w:t>Michael</w:t>
      </w:r>
      <w:r>
        <w:t xml:space="preserve"> R Ardern-Jones</w:t>
      </w:r>
      <w:r w:rsidRPr="00332D94">
        <w:rPr>
          <w:vertAlign w:val="superscript"/>
        </w:rPr>
        <w:t>1</w:t>
      </w:r>
      <w:r>
        <w:rPr>
          <w:vertAlign w:val="superscript"/>
        </w:rPr>
        <w:t>,2</w:t>
      </w:r>
      <w:r>
        <w:t>, Matt Stammers</w:t>
      </w:r>
      <w:r w:rsidRPr="00332D94">
        <w:rPr>
          <w:vertAlign w:val="superscript"/>
        </w:rPr>
        <w:t>2</w:t>
      </w:r>
      <w:r>
        <w:rPr>
          <w:vertAlign w:val="superscript"/>
        </w:rPr>
        <w:t>,4</w:t>
      </w:r>
      <w:r>
        <w:t>, Hang T.T. Phan</w:t>
      </w:r>
      <w:r>
        <w:rPr>
          <w:vertAlign w:val="superscript"/>
        </w:rPr>
        <w:t>3,4</w:t>
      </w:r>
      <w:r>
        <w:t>, Florina Borca</w:t>
      </w:r>
      <w:r>
        <w:rPr>
          <w:vertAlign w:val="superscript"/>
        </w:rPr>
        <w:t>3,4</w:t>
      </w:r>
      <w:r>
        <w:t>, Anastasia Koutalopoulou</w:t>
      </w:r>
      <w:r w:rsidRPr="001A5122">
        <w:rPr>
          <w:vertAlign w:val="superscript"/>
        </w:rPr>
        <w:t>2</w:t>
      </w:r>
      <w:r>
        <w:t>, Ying Teo</w:t>
      </w:r>
      <w:r w:rsidRPr="001A5122">
        <w:rPr>
          <w:vertAlign w:val="superscript"/>
        </w:rPr>
        <w:t>2</w:t>
      </w:r>
      <w:r>
        <w:t>, James Batchelor</w:t>
      </w:r>
      <w:r>
        <w:rPr>
          <w:vertAlign w:val="superscript"/>
        </w:rPr>
        <w:t>3,4</w:t>
      </w:r>
      <w:r>
        <w:t>, Trevor Smith</w:t>
      </w:r>
      <w:r w:rsidRPr="00B92E66">
        <w:rPr>
          <w:vertAlign w:val="superscript"/>
        </w:rPr>
        <w:t>2</w:t>
      </w:r>
      <w:r>
        <w:t>, Andrew S Duncombe</w:t>
      </w:r>
      <w:r>
        <w:rPr>
          <w:vertAlign w:val="superscript"/>
        </w:rPr>
        <w:t>5</w:t>
      </w:r>
    </w:p>
    <w:p w14:paraId="2E993189" w14:textId="77777777" w:rsidR="009F2454" w:rsidRDefault="009F2454" w:rsidP="009F2454">
      <w:pPr>
        <w:spacing w:line="360" w:lineRule="auto"/>
      </w:pPr>
      <w:r>
        <w:rPr>
          <w:vertAlign w:val="superscript"/>
        </w:rPr>
        <w:t>1</w:t>
      </w:r>
      <w:r>
        <w:t xml:space="preserve">Clinical Experimental Sciences, University of Southampton Faculty of Medicine, </w:t>
      </w:r>
      <w:proofErr w:type="spellStart"/>
      <w:r>
        <w:t>Mailpoint</w:t>
      </w:r>
      <w:proofErr w:type="spellEnd"/>
      <w:r>
        <w:t xml:space="preserve"> 825, Level F, South Block, Sir Henry Wellcome Laboratories, Southampton General Hospital, Southampton, SO16 6YD, United Kingdom</w:t>
      </w:r>
    </w:p>
    <w:p w14:paraId="460E107D" w14:textId="77777777" w:rsidR="009F2454" w:rsidRDefault="009F2454" w:rsidP="009F2454">
      <w:pPr>
        <w:spacing w:line="360" w:lineRule="auto"/>
      </w:pPr>
      <w:r>
        <w:rPr>
          <w:vertAlign w:val="superscript"/>
        </w:rPr>
        <w:t>2</w:t>
      </w:r>
      <w:r>
        <w:t>Division of Medicine, University Hospitals Southampton NHS Foundation Trust, Southampton General Hospital, Southampton, SO16 6YD, United Kingdom</w:t>
      </w:r>
    </w:p>
    <w:p w14:paraId="249B5C56" w14:textId="77777777" w:rsidR="009F2454" w:rsidRDefault="009F2454" w:rsidP="009F2454">
      <w:pPr>
        <w:spacing w:line="360" w:lineRule="auto"/>
      </w:pPr>
      <w:r w:rsidRPr="00B92E66">
        <w:rPr>
          <w:vertAlign w:val="superscript"/>
        </w:rPr>
        <w:t>3</w:t>
      </w:r>
      <w:r>
        <w:t>NIHR Southampton Biomedical Research Centre, University Hospital Southampton NHS Foundation Trust, Southampton, UK</w:t>
      </w:r>
    </w:p>
    <w:p w14:paraId="7732094F" w14:textId="77777777" w:rsidR="009F2454" w:rsidRDefault="009F2454" w:rsidP="009F2454">
      <w:pPr>
        <w:spacing w:line="360" w:lineRule="auto"/>
      </w:pPr>
      <w:r w:rsidRPr="00B92E66">
        <w:rPr>
          <w:vertAlign w:val="superscript"/>
        </w:rPr>
        <w:t>4</w:t>
      </w:r>
      <w:r>
        <w:t>Clinical Informatics Research Unit Faculty of Medicine, University of Southampton, Southampton, UK</w:t>
      </w:r>
    </w:p>
    <w:p w14:paraId="559C1322" w14:textId="77777777" w:rsidR="009F2454" w:rsidRDefault="009F2454" w:rsidP="009F2454">
      <w:pPr>
        <w:spacing w:line="360" w:lineRule="auto"/>
      </w:pPr>
      <w:r w:rsidRPr="001945E2">
        <w:rPr>
          <w:vertAlign w:val="superscript"/>
        </w:rPr>
        <w:t>5</w:t>
      </w:r>
      <w:r>
        <w:t xml:space="preserve">Department of Haematology, University Hospitals Southampton NHS Foundation Trust, Southampton, SO16 6YD, UK </w:t>
      </w:r>
    </w:p>
    <w:p w14:paraId="5F96EDDF" w14:textId="77777777" w:rsidR="009F2454" w:rsidRDefault="009F2454" w:rsidP="009F2454">
      <w:pPr>
        <w:spacing w:line="360" w:lineRule="auto"/>
      </w:pPr>
      <w:r>
        <w:t>Corresponding author: Michael Ardern-Jones</w:t>
      </w:r>
    </w:p>
    <w:p w14:paraId="3C305AC7" w14:textId="77777777" w:rsidR="009F2454" w:rsidRDefault="009F2454" w:rsidP="009F2454">
      <w:pPr>
        <w:spacing w:line="360" w:lineRule="auto"/>
        <w:rPr>
          <w:lang w:val="en-US"/>
        </w:rPr>
      </w:pPr>
      <w:r>
        <w:rPr>
          <w:lang w:val="en-US"/>
        </w:rPr>
        <w:t xml:space="preserve">Tel: +44 (023) 81207594 </w:t>
      </w:r>
      <w:r>
        <w:rPr>
          <w:lang w:val="en-US"/>
        </w:rPr>
        <w:tab/>
        <w:t>E-mail: m.aj@soton.ac.uk</w:t>
      </w:r>
    </w:p>
    <w:p w14:paraId="26176B2C" w14:textId="77777777" w:rsidR="009F2454" w:rsidRDefault="009F2454" w:rsidP="009F2454">
      <w:pPr>
        <w:spacing w:line="360" w:lineRule="auto"/>
      </w:pPr>
      <w:r>
        <w:t>Article Type: Brief Report</w:t>
      </w:r>
      <w:r>
        <w:tab/>
        <w:t>Running head: COVID HLH</w:t>
      </w:r>
    </w:p>
    <w:p w14:paraId="6B773985" w14:textId="77777777" w:rsidR="009F2454" w:rsidRDefault="009F2454" w:rsidP="009F2454">
      <w:pPr>
        <w:spacing w:line="360" w:lineRule="auto"/>
        <w:rPr>
          <w:rFonts w:cstheme="minorHAnsi"/>
        </w:rPr>
      </w:pPr>
      <w:r>
        <w:t xml:space="preserve">Keywords: Hyperinflammation, SARS-CoV-2, HScore, %HScore, secondary </w:t>
      </w:r>
      <w:proofErr w:type="spellStart"/>
      <w:r w:rsidRPr="001A634D">
        <w:rPr>
          <w:rFonts w:cstheme="minorHAnsi"/>
        </w:rPr>
        <w:t>haemophagocytic</w:t>
      </w:r>
      <w:proofErr w:type="spellEnd"/>
      <w:r w:rsidRPr="001A634D">
        <w:rPr>
          <w:rFonts w:cstheme="minorHAnsi"/>
        </w:rPr>
        <w:t xml:space="preserve"> </w:t>
      </w:r>
      <w:proofErr w:type="spellStart"/>
      <w:r w:rsidRPr="001A634D">
        <w:rPr>
          <w:rFonts w:cstheme="minorHAnsi"/>
        </w:rPr>
        <w:t>lymphohistiocytosis</w:t>
      </w:r>
      <w:proofErr w:type="spellEnd"/>
      <w:r>
        <w:rPr>
          <w:rFonts w:cstheme="minorHAnsi"/>
        </w:rPr>
        <w:t>, COVID-19</w:t>
      </w:r>
    </w:p>
    <w:bookmarkEnd w:id="0"/>
    <w:p w14:paraId="4211259F" w14:textId="49861B89" w:rsidR="009F2454" w:rsidRDefault="009F2454" w:rsidP="009F2454">
      <w:pPr>
        <w:spacing w:line="360" w:lineRule="auto"/>
      </w:pPr>
      <w:r>
        <w:t>Supplementary Table: 1</w:t>
      </w:r>
    </w:p>
    <w:p w14:paraId="26DD1889" w14:textId="77777777" w:rsidR="009F2454" w:rsidRDefault="009F2454" w:rsidP="009F2454">
      <w:pPr>
        <w:spacing w:line="360" w:lineRule="auto"/>
      </w:pPr>
      <w:r>
        <w:t>Authors Declaration:</w:t>
      </w:r>
    </w:p>
    <w:p w14:paraId="707D74D1" w14:textId="38DB3627" w:rsidR="00CD6956" w:rsidRDefault="009F2454" w:rsidP="009F2454">
      <w:r>
        <w:t xml:space="preserve">No financial support or other benefits from commercial sources for the work reported on in the manuscript, or any other financial interests are declared. No potential conflict of interest or the appearance of a conflict of interest </w:t>
      </w:r>
      <w:proofErr w:type="gramStart"/>
      <w:r>
        <w:t>with regard to</w:t>
      </w:r>
      <w:proofErr w:type="gramEnd"/>
      <w:r>
        <w:t xml:space="preserve"> the work declared.</w:t>
      </w:r>
      <w:r>
        <w:br/>
      </w:r>
    </w:p>
    <w:p w14:paraId="4CB958C6" w14:textId="7D8F7F44" w:rsidR="009F2454" w:rsidRDefault="009F2454" w:rsidP="009F2454"/>
    <w:p w14:paraId="05123DA8" w14:textId="27D40384" w:rsidR="009F2454" w:rsidRDefault="009F2454" w:rsidP="009F2454"/>
    <w:p w14:paraId="0B979C3F" w14:textId="5251E6B1" w:rsidR="009F2454" w:rsidRDefault="009F2454" w:rsidP="009F2454"/>
    <w:p w14:paraId="4C0B51D7" w14:textId="694F8996" w:rsidR="009F2454" w:rsidRDefault="009F2454" w:rsidP="009F2454"/>
    <w:tbl>
      <w:tblPr>
        <w:tblW w:w="9272" w:type="dxa"/>
        <w:jc w:val="center"/>
        <w:tblCellMar>
          <w:left w:w="0" w:type="dxa"/>
          <w:right w:w="0" w:type="dxa"/>
        </w:tblCellMar>
        <w:tblLook w:val="0600" w:firstRow="0" w:lastRow="0" w:firstColumn="0" w:lastColumn="0" w:noHBand="1" w:noVBand="1"/>
      </w:tblPr>
      <w:tblGrid>
        <w:gridCol w:w="2036"/>
        <w:gridCol w:w="2698"/>
        <w:gridCol w:w="4538"/>
      </w:tblGrid>
      <w:tr w:rsidR="009A6CA3" w:rsidRPr="009A6CA3" w14:paraId="15BC3FCF" w14:textId="77777777" w:rsidTr="009A6CA3">
        <w:trPr>
          <w:trHeight w:val="411"/>
          <w:jc w:val="center"/>
        </w:trPr>
        <w:tc>
          <w:tcPr>
            <w:tcW w:w="2036" w:type="dxa"/>
            <w:tcBorders>
              <w:top w:val="nil"/>
              <w:left w:val="nil"/>
              <w:bottom w:val="single" w:sz="8" w:space="0" w:color="000000"/>
              <w:right w:val="nil"/>
            </w:tcBorders>
            <w:shd w:val="clear" w:color="auto" w:fill="D0CECE"/>
            <w:tcMar>
              <w:top w:w="26" w:type="dxa"/>
              <w:left w:w="26" w:type="dxa"/>
              <w:bottom w:w="0" w:type="dxa"/>
              <w:right w:w="26" w:type="dxa"/>
            </w:tcMar>
            <w:vAlign w:val="bottom"/>
            <w:hideMark/>
          </w:tcPr>
          <w:p w14:paraId="6AA01B50" w14:textId="77777777" w:rsidR="009A6CA3" w:rsidRPr="009A6CA3" w:rsidRDefault="009A6CA3" w:rsidP="009A6CA3">
            <w:pPr>
              <w:spacing w:after="0" w:line="240" w:lineRule="auto"/>
              <w:textAlignment w:val="bottom"/>
              <w:rPr>
                <w:rFonts w:ascii="Arial" w:eastAsia="Times New Roman" w:hAnsi="Arial" w:cs="Arial"/>
                <w:sz w:val="20"/>
                <w:szCs w:val="20"/>
                <w:lang w:eastAsia="en-GB"/>
              </w:rPr>
            </w:pPr>
            <w:r w:rsidRPr="009A6CA3">
              <w:rPr>
                <w:rFonts w:ascii="Calibri" w:eastAsia="Times New Roman" w:hAnsi="Calibri" w:cs="Calibri"/>
                <w:b/>
                <w:bCs/>
                <w:color w:val="000000"/>
                <w:kern w:val="24"/>
                <w:sz w:val="20"/>
                <w:szCs w:val="20"/>
                <w:lang w:eastAsia="en-GB"/>
              </w:rPr>
              <w:lastRenderedPageBreak/>
              <w:t>Parameter</w:t>
            </w:r>
          </w:p>
        </w:tc>
        <w:tc>
          <w:tcPr>
            <w:tcW w:w="2698" w:type="dxa"/>
            <w:tcBorders>
              <w:top w:val="nil"/>
              <w:left w:val="nil"/>
              <w:bottom w:val="single" w:sz="8" w:space="0" w:color="000000"/>
              <w:right w:val="nil"/>
            </w:tcBorders>
            <w:shd w:val="clear" w:color="auto" w:fill="D0CECE"/>
            <w:tcMar>
              <w:top w:w="26" w:type="dxa"/>
              <w:left w:w="26" w:type="dxa"/>
              <w:bottom w:w="0" w:type="dxa"/>
              <w:right w:w="26" w:type="dxa"/>
            </w:tcMar>
            <w:vAlign w:val="bottom"/>
            <w:hideMark/>
          </w:tcPr>
          <w:p w14:paraId="1B44C8E5"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b/>
                <w:bCs/>
                <w:color w:val="000000"/>
                <w:kern w:val="24"/>
                <w:sz w:val="20"/>
                <w:szCs w:val="20"/>
                <w:lang w:eastAsia="en-GB"/>
              </w:rPr>
              <w:t>HScore points (criteria)</w:t>
            </w:r>
          </w:p>
        </w:tc>
        <w:tc>
          <w:tcPr>
            <w:tcW w:w="4538" w:type="dxa"/>
            <w:tcBorders>
              <w:top w:val="nil"/>
              <w:left w:val="nil"/>
              <w:bottom w:val="single" w:sz="8" w:space="0" w:color="000000"/>
              <w:right w:val="nil"/>
            </w:tcBorders>
            <w:shd w:val="clear" w:color="auto" w:fill="D0CECE"/>
            <w:tcMar>
              <w:top w:w="26" w:type="dxa"/>
              <w:left w:w="26" w:type="dxa"/>
              <w:bottom w:w="0" w:type="dxa"/>
              <w:right w:w="26" w:type="dxa"/>
            </w:tcMar>
            <w:vAlign w:val="bottom"/>
            <w:hideMark/>
          </w:tcPr>
          <w:p w14:paraId="38DBC432"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b/>
                <w:bCs/>
                <w:color w:val="000000"/>
                <w:kern w:val="24"/>
                <w:sz w:val="20"/>
                <w:szCs w:val="20"/>
                <w:lang w:eastAsia="en-GB"/>
              </w:rPr>
              <w:t>%HScore points (criteria)</w:t>
            </w:r>
          </w:p>
          <w:p w14:paraId="6202852F"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b/>
                <w:bCs/>
                <w:color w:val="000000"/>
                <w:kern w:val="24"/>
                <w:sz w:val="20"/>
                <w:szCs w:val="20"/>
                <w:lang w:eastAsia="en-GB"/>
              </w:rPr>
              <w:t xml:space="preserve">(Minimum variables </w:t>
            </w:r>
            <w:r w:rsidRPr="009A6CA3">
              <w:rPr>
                <w:rFonts w:ascii="Calibri" w:eastAsia="Times New Roman" w:hAnsi="Symbol" w:cs="Arial"/>
                <w:b/>
                <w:bCs/>
                <w:color w:val="000000"/>
                <w:kern w:val="24"/>
                <w:sz w:val="20"/>
                <w:szCs w:val="20"/>
                <w:lang w:eastAsia="en-GB"/>
              </w:rPr>
              <w:sym w:font="Symbol" w:char="F0B3"/>
            </w:r>
            <w:r w:rsidRPr="009A6CA3">
              <w:rPr>
                <w:rFonts w:ascii="Calibri" w:eastAsia="Times New Roman" w:hAnsi="Calibri" w:cs="Calibri"/>
                <w:b/>
                <w:bCs/>
                <w:color w:val="000000"/>
                <w:kern w:val="24"/>
                <w:sz w:val="20"/>
                <w:szCs w:val="20"/>
                <w:lang w:eastAsia="en-GB"/>
              </w:rPr>
              <w:t>3)</w:t>
            </w:r>
          </w:p>
        </w:tc>
      </w:tr>
      <w:tr w:rsidR="009A6CA3" w:rsidRPr="009A6CA3" w14:paraId="25DF6552" w14:textId="77777777" w:rsidTr="009A6CA3">
        <w:trPr>
          <w:trHeight w:val="570"/>
          <w:jc w:val="center"/>
        </w:trPr>
        <w:tc>
          <w:tcPr>
            <w:tcW w:w="2036" w:type="dxa"/>
            <w:tcBorders>
              <w:top w:val="single" w:sz="8" w:space="0" w:color="000000"/>
              <w:left w:val="nil"/>
              <w:bottom w:val="nil"/>
              <w:right w:val="nil"/>
            </w:tcBorders>
            <w:shd w:val="clear" w:color="auto" w:fill="auto"/>
            <w:tcMar>
              <w:top w:w="26" w:type="dxa"/>
              <w:left w:w="26" w:type="dxa"/>
              <w:bottom w:w="0" w:type="dxa"/>
              <w:right w:w="26" w:type="dxa"/>
            </w:tcMar>
            <w:vAlign w:val="bottom"/>
            <w:hideMark/>
          </w:tcPr>
          <w:p w14:paraId="71E8929B" w14:textId="77777777" w:rsidR="009A6CA3" w:rsidRPr="009A6CA3" w:rsidRDefault="009A6CA3" w:rsidP="009A6CA3">
            <w:pPr>
              <w:spacing w:after="0" w:line="240" w:lineRule="auto"/>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Temperature (°C)</w:t>
            </w:r>
          </w:p>
        </w:tc>
        <w:tc>
          <w:tcPr>
            <w:tcW w:w="2698" w:type="dxa"/>
            <w:tcBorders>
              <w:top w:val="single" w:sz="8" w:space="0" w:color="000000"/>
              <w:left w:val="nil"/>
              <w:bottom w:val="nil"/>
              <w:right w:val="nil"/>
            </w:tcBorders>
            <w:shd w:val="clear" w:color="auto" w:fill="auto"/>
            <w:tcMar>
              <w:top w:w="26" w:type="dxa"/>
              <w:left w:w="26" w:type="dxa"/>
              <w:bottom w:w="0" w:type="dxa"/>
              <w:right w:w="26" w:type="dxa"/>
            </w:tcMar>
            <w:vAlign w:val="bottom"/>
            <w:hideMark/>
          </w:tcPr>
          <w:p w14:paraId="024D3D2C"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(&lt;38.4), 33 (38.4–39.4), or 49 (&gt;39.4)</w:t>
            </w:r>
          </w:p>
        </w:tc>
        <w:tc>
          <w:tcPr>
            <w:tcW w:w="4538" w:type="dxa"/>
            <w:tcBorders>
              <w:top w:val="single" w:sz="8" w:space="0" w:color="000000"/>
              <w:left w:val="nil"/>
              <w:bottom w:val="nil"/>
              <w:right w:val="nil"/>
            </w:tcBorders>
            <w:shd w:val="clear" w:color="auto" w:fill="auto"/>
            <w:tcMar>
              <w:top w:w="26" w:type="dxa"/>
              <w:left w:w="26" w:type="dxa"/>
              <w:bottom w:w="0" w:type="dxa"/>
              <w:right w:w="26" w:type="dxa"/>
            </w:tcMar>
            <w:vAlign w:val="bottom"/>
            <w:hideMark/>
          </w:tcPr>
          <w:p w14:paraId="68307402"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(&lt;38.4), 33 (38.4–39.4), or 49 (&gt;39.4)</w:t>
            </w:r>
          </w:p>
        </w:tc>
      </w:tr>
      <w:tr w:rsidR="009A6CA3" w:rsidRPr="009A6CA3" w14:paraId="48110B0F" w14:textId="77777777" w:rsidTr="009A6CA3">
        <w:trPr>
          <w:trHeight w:val="570"/>
          <w:jc w:val="center"/>
        </w:trPr>
        <w:tc>
          <w:tcPr>
            <w:tcW w:w="2036" w:type="dxa"/>
            <w:tcBorders>
              <w:top w:val="nil"/>
              <w:left w:val="nil"/>
              <w:bottom w:val="nil"/>
              <w:right w:val="nil"/>
            </w:tcBorders>
            <w:shd w:val="clear" w:color="auto" w:fill="auto"/>
            <w:tcMar>
              <w:top w:w="26" w:type="dxa"/>
              <w:left w:w="26" w:type="dxa"/>
              <w:bottom w:w="0" w:type="dxa"/>
              <w:right w:w="26" w:type="dxa"/>
            </w:tcMar>
            <w:vAlign w:val="bottom"/>
            <w:hideMark/>
          </w:tcPr>
          <w:p w14:paraId="063EB72F" w14:textId="77777777" w:rsidR="009A6CA3" w:rsidRPr="009A6CA3" w:rsidRDefault="009A6CA3" w:rsidP="009A6CA3">
            <w:pPr>
              <w:spacing w:after="0" w:line="240" w:lineRule="auto"/>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 xml:space="preserve">No. of </w:t>
            </w:r>
            <w:proofErr w:type="spellStart"/>
            <w:r w:rsidRPr="009A6CA3">
              <w:rPr>
                <w:rFonts w:ascii="Calibri" w:eastAsia="Times New Roman" w:hAnsi="Calibri" w:cs="Calibri"/>
                <w:color w:val="000000"/>
                <w:kern w:val="24"/>
                <w:sz w:val="20"/>
                <w:szCs w:val="20"/>
                <w:lang w:eastAsia="en-GB"/>
              </w:rPr>
              <w:t>cytopenias</w:t>
            </w:r>
            <w:proofErr w:type="spellEnd"/>
            <w:r w:rsidRPr="009A6CA3">
              <w:rPr>
                <w:rFonts w:ascii="Calibri" w:eastAsia="Times New Roman" w:hAnsi="Calibri" w:cs="Calibri"/>
                <w:color w:val="000000"/>
                <w:kern w:val="24"/>
                <w:sz w:val="20"/>
                <w:szCs w:val="20"/>
                <w:lang w:eastAsia="en-GB"/>
              </w:rPr>
              <w:t>*</w:t>
            </w:r>
          </w:p>
        </w:tc>
        <w:tc>
          <w:tcPr>
            <w:tcW w:w="2698" w:type="dxa"/>
            <w:tcBorders>
              <w:top w:val="nil"/>
              <w:left w:val="nil"/>
              <w:bottom w:val="nil"/>
              <w:right w:val="nil"/>
            </w:tcBorders>
            <w:shd w:val="clear" w:color="auto" w:fill="auto"/>
            <w:tcMar>
              <w:top w:w="26" w:type="dxa"/>
              <w:left w:w="26" w:type="dxa"/>
              <w:bottom w:w="0" w:type="dxa"/>
              <w:right w:w="26" w:type="dxa"/>
            </w:tcMar>
            <w:vAlign w:val="bottom"/>
            <w:hideMark/>
          </w:tcPr>
          <w:p w14:paraId="2F0648FD"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(1 lineage), 24 (2 lineages), or 34 (3 lineages)</w:t>
            </w:r>
          </w:p>
        </w:tc>
        <w:tc>
          <w:tcPr>
            <w:tcW w:w="4538" w:type="dxa"/>
            <w:tcBorders>
              <w:top w:val="nil"/>
              <w:left w:val="nil"/>
              <w:bottom w:val="nil"/>
              <w:right w:val="nil"/>
            </w:tcBorders>
            <w:shd w:val="clear" w:color="auto" w:fill="auto"/>
            <w:tcMar>
              <w:top w:w="26" w:type="dxa"/>
              <w:left w:w="26" w:type="dxa"/>
              <w:bottom w:w="0" w:type="dxa"/>
              <w:right w:w="26" w:type="dxa"/>
            </w:tcMar>
            <w:vAlign w:val="bottom"/>
            <w:hideMark/>
          </w:tcPr>
          <w:p w14:paraId="1F2ACD41"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(1 lineage), 24 (2 lineages), or 34 (3 lineages)</w:t>
            </w:r>
          </w:p>
        </w:tc>
      </w:tr>
      <w:tr w:rsidR="009A6CA3" w:rsidRPr="009A6CA3" w14:paraId="1F24D6D6" w14:textId="77777777" w:rsidTr="009A6CA3">
        <w:trPr>
          <w:trHeight w:val="570"/>
          <w:jc w:val="center"/>
        </w:trPr>
        <w:tc>
          <w:tcPr>
            <w:tcW w:w="2036" w:type="dxa"/>
            <w:tcBorders>
              <w:top w:val="nil"/>
              <w:left w:val="nil"/>
              <w:bottom w:val="nil"/>
              <w:right w:val="nil"/>
            </w:tcBorders>
            <w:shd w:val="clear" w:color="auto" w:fill="auto"/>
            <w:tcMar>
              <w:top w:w="26" w:type="dxa"/>
              <w:left w:w="26" w:type="dxa"/>
              <w:bottom w:w="0" w:type="dxa"/>
              <w:right w:w="26" w:type="dxa"/>
            </w:tcMar>
            <w:vAlign w:val="bottom"/>
            <w:hideMark/>
          </w:tcPr>
          <w:p w14:paraId="50E20D20" w14:textId="77777777" w:rsidR="009A6CA3" w:rsidRPr="009A6CA3" w:rsidRDefault="009A6CA3" w:rsidP="009A6CA3">
            <w:pPr>
              <w:spacing w:after="0" w:line="240" w:lineRule="auto"/>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Ferritin (</w:t>
            </w:r>
            <w:r w:rsidRPr="009A6CA3">
              <w:rPr>
                <w:rFonts w:ascii="Calibri" w:eastAsia="Times New Roman" w:hAnsi="Symbol" w:cs="Arial"/>
                <w:color w:val="000000"/>
                <w:kern w:val="24"/>
                <w:sz w:val="20"/>
                <w:szCs w:val="20"/>
                <w:lang w:eastAsia="en-GB"/>
              </w:rPr>
              <w:sym w:font="Symbol" w:char="F06D"/>
            </w:r>
            <w:r w:rsidRPr="009A6CA3">
              <w:rPr>
                <w:rFonts w:ascii="Calibri" w:eastAsia="Times New Roman" w:hAnsi="Calibri" w:cs="Calibri"/>
                <w:color w:val="000000"/>
                <w:kern w:val="24"/>
                <w:sz w:val="20"/>
                <w:szCs w:val="20"/>
                <w:lang w:eastAsia="en-GB"/>
              </w:rPr>
              <w:t>g/L)</w:t>
            </w:r>
          </w:p>
        </w:tc>
        <w:tc>
          <w:tcPr>
            <w:tcW w:w="2698" w:type="dxa"/>
            <w:tcBorders>
              <w:top w:val="nil"/>
              <w:left w:val="nil"/>
              <w:bottom w:val="nil"/>
              <w:right w:val="nil"/>
            </w:tcBorders>
            <w:shd w:val="clear" w:color="auto" w:fill="auto"/>
            <w:tcMar>
              <w:top w:w="26" w:type="dxa"/>
              <w:left w:w="26" w:type="dxa"/>
              <w:bottom w:w="0" w:type="dxa"/>
              <w:right w:w="26" w:type="dxa"/>
            </w:tcMar>
            <w:vAlign w:val="bottom"/>
            <w:hideMark/>
          </w:tcPr>
          <w:p w14:paraId="0B1E53D4"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(&lt;2,000), 35 (2,000–6,000), or 50 (&gt;6,000)</w:t>
            </w:r>
          </w:p>
        </w:tc>
        <w:tc>
          <w:tcPr>
            <w:tcW w:w="4538" w:type="dxa"/>
            <w:tcBorders>
              <w:top w:val="nil"/>
              <w:left w:val="nil"/>
              <w:bottom w:val="nil"/>
              <w:right w:val="nil"/>
            </w:tcBorders>
            <w:shd w:val="clear" w:color="auto" w:fill="auto"/>
            <w:tcMar>
              <w:top w:w="26" w:type="dxa"/>
              <w:left w:w="26" w:type="dxa"/>
              <w:bottom w:w="0" w:type="dxa"/>
              <w:right w:w="26" w:type="dxa"/>
            </w:tcMar>
            <w:vAlign w:val="bottom"/>
            <w:hideMark/>
          </w:tcPr>
          <w:p w14:paraId="25829F45"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(&lt;2,000), 35 (2,000–6,000), or 50 (&gt;6,000)</w:t>
            </w:r>
          </w:p>
        </w:tc>
      </w:tr>
      <w:tr w:rsidR="009A6CA3" w:rsidRPr="009A6CA3" w14:paraId="10DB5BF0" w14:textId="77777777" w:rsidTr="009A6CA3">
        <w:trPr>
          <w:trHeight w:val="570"/>
          <w:jc w:val="center"/>
        </w:trPr>
        <w:tc>
          <w:tcPr>
            <w:tcW w:w="2036" w:type="dxa"/>
            <w:tcBorders>
              <w:top w:val="nil"/>
              <w:left w:val="nil"/>
              <w:bottom w:val="nil"/>
              <w:right w:val="nil"/>
            </w:tcBorders>
            <w:shd w:val="clear" w:color="auto" w:fill="auto"/>
            <w:tcMar>
              <w:top w:w="26" w:type="dxa"/>
              <w:left w:w="26" w:type="dxa"/>
              <w:bottom w:w="0" w:type="dxa"/>
              <w:right w:w="26" w:type="dxa"/>
            </w:tcMar>
            <w:vAlign w:val="bottom"/>
            <w:hideMark/>
          </w:tcPr>
          <w:p w14:paraId="63528F21" w14:textId="77777777" w:rsidR="009A6CA3" w:rsidRPr="009A6CA3" w:rsidRDefault="009A6CA3" w:rsidP="009A6CA3">
            <w:pPr>
              <w:spacing w:after="0" w:line="240" w:lineRule="auto"/>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Triglyceride (mmol/L)</w:t>
            </w:r>
          </w:p>
        </w:tc>
        <w:tc>
          <w:tcPr>
            <w:tcW w:w="2698" w:type="dxa"/>
            <w:tcBorders>
              <w:top w:val="nil"/>
              <w:left w:val="nil"/>
              <w:bottom w:val="nil"/>
              <w:right w:val="nil"/>
            </w:tcBorders>
            <w:shd w:val="clear" w:color="auto" w:fill="auto"/>
            <w:tcMar>
              <w:top w:w="26" w:type="dxa"/>
              <w:left w:w="26" w:type="dxa"/>
              <w:bottom w:w="0" w:type="dxa"/>
              <w:right w:w="26" w:type="dxa"/>
            </w:tcMar>
            <w:vAlign w:val="bottom"/>
            <w:hideMark/>
          </w:tcPr>
          <w:p w14:paraId="7149D873"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(&lt;1.5), 44 (1.5–4), or 64 (&gt;4)</w:t>
            </w:r>
          </w:p>
        </w:tc>
        <w:tc>
          <w:tcPr>
            <w:tcW w:w="4538" w:type="dxa"/>
            <w:tcBorders>
              <w:top w:val="nil"/>
              <w:left w:val="nil"/>
              <w:bottom w:val="nil"/>
              <w:right w:val="nil"/>
            </w:tcBorders>
            <w:shd w:val="clear" w:color="auto" w:fill="auto"/>
            <w:tcMar>
              <w:top w:w="26" w:type="dxa"/>
              <w:left w:w="26" w:type="dxa"/>
              <w:bottom w:w="0" w:type="dxa"/>
              <w:right w:w="26" w:type="dxa"/>
            </w:tcMar>
            <w:vAlign w:val="bottom"/>
            <w:hideMark/>
          </w:tcPr>
          <w:p w14:paraId="3901B075"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(&lt;1.5), 44 (1.5–4), or 64 (&gt;4)</w:t>
            </w:r>
          </w:p>
        </w:tc>
      </w:tr>
      <w:tr w:rsidR="009A6CA3" w:rsidRPr="009A6CA3" w14:paraId="28EF9FC6" w14:textId="77777777" w:rsidTr="009A6CA3">
        <w:trPr>
          <w:trHeight w:val="570"/>
          <w:jc w:val="center"/>
        </w:trPr>
        <w:tc>
          <w:tcPr>
            <w:tcW w:w="2036" w:type="dxa"/>
            <w:tcBorders>
              <w:top w:val="nil"/>
              <w:left w:val="nil"/>
              <w:bottom w:val="nil"/>
              <w:right w:val="nil"/>
            </w:tcBorders>
            <w:shd w:val="clear" w:color="auto" w:fill="auto"/>
            <w:tcMar>
              <w:top w:w="26" w:type="dxa"/>
              <w:left w:w="26" w:type="dxa"/>
              <w:bottom w:w="0" w:type="dxa"/>
              <w:right w:w="26" w:type="dxa"/>
            </w:tcMar>
            <w:vAlign w:val="bottom"/>
            <w:hideMark/>
          </w:tcPr>
          <w:p w14:paraId="4A62BB16" w14:textId="77777777" w:rsidR="009A6CA3" w:rsidRPr="009A6CA3" w:rsidRDefault="009A6CA3" w:rsidP="009A6CA3">
            <w:pPr>
              <w:spacing w:after="0" w:line="240" w:lineRule="auto"/>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Fibrinogen (g/L)</w:t>
            </w:r>
          </w:p>
        </w:tc>
        <w:tc>
          <w:tcPr>
            <w:tcW w:w="2698" w:type="dxa"/>
            <w:tcBorders>
              <w:top w:val="nil"/>
              <w:left w:val="nil"/>
              <w:bottom w:val="nil"/>
              <w:right w:val="nil"/>
            </w:tcBorders>
            <w:shd w:val="clear" w:color="auto" w:fill="auto"/>
            <w:tcMar>
              <w:top w:w="26" w:type="dxa"/>
              <w:left w:w="26" w:type="dxa"/>
              <w:bottom w:w="0" w:type="dxa"/>
              <w:right w:w="26" w:type="dxa"/>
            </w:tcMar>
            <w:vAlign w:val="bottom"/>
            <w:hideMark/>
          </w:tcPr>
          <w:p w14:paraId="48B01DF9"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(&gt;2.5) or 30 (≤2.5)</w:t>
            </w:r>
          </w:p>
        </w:tc>
        <w:tc>
          <w:tcPr>
            <w:tcW w:w="4538" w:type="dxa"/>
            <w:tcBorders>
              <w:top w:val="nil"/>
              <w:left w:val="nil"/>
              <w:bottom w:val="nil"/>
              <w:right w:val="nil"/>
            </w:tcBorders>
            <w:shd w:val="clear" w:color="auto" w:fill="auto"/>
            <w:tcMar>
              <w:top w:w="26" w:type="dxa"/>
              <w:left w:w="26" w:type="dxa"/>
              <w:bottom w:w="0" w:type="dxa"/>
              <w:right w:w="26" w:type="dxa"/>
            </w:tcMar>
            <w:vAlign w:val="bottom"/>
            <w:hideMark/>
          </w:tcPr>
          <w:p w14:paraId="277AB146"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(&gt;2.5) or 30 (≤2.5)</w:t>
            </w:r>
          </w:p>
        </w:tc>
      </w:tr>
      <w:tr w:rsidR="009A6CA3" w:rsidRPr="009A6CA3" w14:paraId="0C7EB3E5" w14:textId="77777777" w:rsidTr="009A6CA3">
        <w:trPr>
          <w:trHeight w:val="570"/>
          <w:jc w:val="center"/>
        </w:trPr>
        <w:tc>
          <w:tcPr>
            <w:tcW w:w="2036" w:type="dxa"/>
            <w:tcBorders>
              <w:top w:val="nil"/>
              <w:left w:val="nil"/>
              <w:bottom w:val="nil"/>
              <w:right w:val="nil"/>
            </w:tcBorders>
            <w:shd w:val="clear" w:color="auto" w:fill="auto"/>
            <w:tcMar>
              <w:top w:w="26" w:type="dxa"/>
              <w:left w:w="26" w:type="dxa"/>
              <w:bottom w:w="0" w:type="dxa"/>
              <w:right w:w="26" w:type="dxa"/>
            </w:tcMar>
            <w:vAlign w:val="bottom"/>
            <w:hideMark/>
          </w:tcPr>
          <w:p w14:paraId="0BD14480" w14:textId="77777777" w:rsidR="009A6CA3" w:rsidRPr="009A6CA3" w:rsidRDefault="009A6CA3" w:rsidP="009A6CA3">
            <w:pPr>
              <w:spacing w:after="0" w:line="240" w:lineRule="auto"/>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AST/ALT (IU/L)</w:t>
            </w:r>
          </w:p>
        </w:tc>
        <w:tc>
          <w:tcPr>
            <w:tcW w:w="2698" w:type="dxa"/>
            <w:tcBorders>
              <w:top w:val="nil"/>
              <w:left w:val="nil"/>
              <w:bottom w:val="nil"/>
              <w:right w:val="nil"/>
            </w:tcBorders>
            <w:shd w:val="clear" w:color="auto" w:fill="auto"/>
            <w:tcMar>
              <w:top w:w="26" w:type="dxa"/>
              <w:left w:w="26" w:type="dxa"/>
              <w:bottom w:w="0" w:type="dxa"/>
              <w:right w:w="26" w:type="dxa"/>
            </w:tcMar>
            <w:vAlign w:val="bottom"/>
            <w:hideMark/>
          </w:tcPr>
          <w:p w14:paraId="763DA69B"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(&lt;30) or 19 (≥30)</w:t>
            </w:r>
          </w:p>
        </w:tc>
        <w:tc>
          <w:tcPr>
            <w:tcW w:w="4538" w:type="dxa"/>
            <w:tcBorders>
              <w:top w:val="nil"/>
              <w:left w:val="nil"/>
              <w:bottom w:val="nil"/>
              <w:right w:val="nil"/>
            </w:tcBorders>
            <w:shd w:val="clear" w:color="auto" w:fill="auto"/>
            <w:tcMar>
              <w:top w:w="26" w:type="dxa"/>
              <w:left w:w="26" w:type="dxa"/>
              <w:bottom w:w="0" w:type="dxa"/>
              <w:right w:w="26" w:type="dxa"/>
            </w:tcMar>
            <w:vAlign w:val="bottom"/>
            <w:hideMark/>
          </w:tcPr>
          <w:p w14:paraId="362D8CC8"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(&lt;30) or 19 (≥30)</w:t>
            </w:r>
          </w:p>
        </w:tc>
      </w:tr>
      <w:tr w:rsidR="009A6CA3" w:rsidRPr="009A6CA3" w14:paraId="20954FD2" w14:textId="77777777" w:rsidTr="009A6CA3">
        <w:trPr>
          <w:trHeight w:val="570"/>
          <w:jc w:val="center"/>
        </w:trPr>
        <w:tc>
          <w:tcPr>
            <w:tcW w:w="2036" w:type="dxa"/>
            <w:tcBorders>
              <w:top w:val="nil"/>
              <w:left w:val="nil"/>
              <w:bottom w:val="nil"/>
              <w:right w:val="nil"/>
            </w:tcBorders>
            <w:shd w:val="clear" w:color="auto" w:fill="auto"/>
            <w:tcMar>
              <w:top w:w="26" w:type="dxa"/>
              <w:left w:w="26" w:type="dxa"/>
              <w:bottom w:w="0" w:type="dxa"/>
              <w:right w:w="26" w:type="dxa"/>
            </w:tcMar>
            <w:vAlign w:val="bottom"/>
            <w:hideMark/>
          </w:tcPr>
          <w:p w14:paraId="73C8067F" w14:textId="77777777" w:rsidR="009A6CA3" w:rsidRPr="009A6CA3" w:rsidRDefault="009A6CA3" w:rsidP="009A6CA3">
            <w:pPr>
              <w:spacing w:after="0" w:line="240" w:lineRule="auto"/>
              <w:textAlignment w:val="bottom"/>
              <w:rPr>
                <w:rFonts w:ascii="Arial" w:eastAsia="Times New Roman" w:hAnsi="Arial" w:cs="Arial"/>
                <w:sz w:val="20"/>
                <w:szCs w:val="20"/>
                <w:lang w:eastAsia="en-GB"/>
              </w:rPr>
            </w:pPr>
            <w:proofErr w:type="spellStart"/>
            <w:r w:rsidRPr="009A6CA3">
              <w:rPr>
                <w:rFonts w:ascii="Calibri" w:eastAsia="Times New Roman" w:hAnsi="Calibri" w:cs="Calibri"/>
                <w:color w:val="000000"/>
                <w:kern w:val="24"/>
                <w:sz w:val="20"/>
                <w:szCs w:val="20"/>
                <w:lang w:eastAsia="en-GB"/>
              </w:rPr>
              <w:t>Hemophagocytosis</w:t>
            </w:r>
            <w:proofErr w:type="spellEnd"/>
            <w:r w:rsidRPr="009A6CA3">
              <w:rPr>
                <w:rFonts w:ascii="Calibri" w:eastAsia="Times New Roman" w:hAnsi="Calibri" w:cs="Calibri"/>
                <w:color w:val="000000"/>
                <w:kern w:val="24"/>
                <w:sz w:val="20"/>
                <w:szCs w:val="20"/>
                <w:lang w:eastAsia="en-GB"/>
              </w:rPr>
              <w:t xml:space="preserve"> **</w:t>
            </w:r>
          </w:p>
        </w:tc>
        <w:tc>
          <w:tcPr>
            <w:tcW w:w="2698" w:type="dxa"/>
            <w:tcBorders>
              <w:top w:val="nil"/>
              <w:left w:val="nil"/>
              <w:bottom w:val="nil"/>
              <w:right w:val="nil"/>
            </w:tcBorders>
            <w:shd w:val="clear" w:color="auto" w:fill="auto"/>
            <w:tcMar>
              <w:top w:w="26" w:type="dxa"/>
              <w:left w:w="26" w:type="dxa"/>
              <w:bottom w:w="0" w:type="dxa"/>
              <w:right w:w="26" w:type="dxa"/>
            </w:tcMar>
            <w:vAlign w:val="bottom"/>
            <w:hideMark/>
          </w:tcPr>
          <w:p w14:paraId="5BAE19B7"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(no) or 35 (yes)</w:t>
            </w:r>
          </w:p>
        </w:tc>
        <w:tc>
          <w:tcPr>
            <w:tcW w:w="4538" w:type="dxa"/>
            <w:tcBorders>
              <w:top w:val="nil"/>
              <w:left w:val="nil"/>
              <w:bottom w:val="nil"/>
              <w:right w:val="nil"/>
            </w:tcBorders>
            <w:shd w:val="clear" w:color="auto" w:fill="auto"/>
            <w:tcMar>
              <w:top w:w="26" w:type="dxa"/>
              <w:left w:w="26" w:type="dxa"/>
              <w:bottom w:w="0" w:type="dxa"/>
              <w:right w:w="26" w:type="dxa"/>
            </w:tcMar>
            <w:vAlign w:val="bottom"/>
            <w:hideMark/>
          </w:tcPr>
          <w:p w14:paraId="411D6AC1"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w:t>
            </w:r>
          </w:p>
        </w:tc>
      </w:tr>
      <w:tr w:rsidR="009A6CA3" w:rsidRPr="009A6CA3" w14:paraId="5A9F8EA5" w14:textId="77777777" w:rsidTr="009A6CA3">
        <w:trPr>
          <w:trHeight w:val="570"/>
          <w:jc w:val="center"/>
        </w:trPr>
        <w:tc>
          <w:tcPr>
            <w:tcW w:w="2036" w:type="dxa"/>
            <w:tcBorders>
              <w:top w:val="nil"/>
              <w:left w:val="nil"/>
              <w:bottom w:val="nil"/>
              <w:right w:val="nil"/>
            </w:tcBorders>
            <w:shd w:val="clear" w:color="auto" w:fill="auto"/>
            <w:tcMar>
              <w:top w:w="26" w:type="dxa"/>
              <w:left w:w="26" w:type="dxa"/>
              <w:bottom w:w="0" w:type="dxa"/>
              <w:right w:w="26" w:type="dxa"/>
            </w:tcMar>
            <w:vAlign w:val="bottom"/>
            <w:hideMark/>
          </w:tcPr>
          <w:p w14:paraId="1B23FFBC" w14:textId="77777777" w:rsidR="009A6CA3" w:rsidRPr="009A6CA3" w:rsidRDefault="009A6CA3" w:rsidP="009A6CA3">
            <w:pPr>
              <w:spacing w:after="0" w:line="240" w:lineRule="auto"/>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Immunosuppression</w:t>
            </w:r>
          </w:p>
        </w:tc>
        <w:tc>
          <w:tcPr>
            <w:tcW w:w="2698" w:type="dxa"/>
            <w:tcBorders>
              <w:top w:val="nil"/>
              <w:left w:val="nil"/>
              <w:bottom w:val="nil"/>
              <w:right w:val="nil"/>
            </w:tcBorders>
            <w:shd w:val="clear" w:color="auto" w:fill="auto"/>
            <w:tcMar>
              <w:top w:w="26" w:type="dxa"/>
              <w:left w:w="26" w:type="dxa"/>
              <w:bottom w:w="0" w:type="dxa"/>
              <w:right w:w="26" w:type="dxa"/>
            </w:tcMar>
            <w:vAlign w:val="bottom"/>
            <w:hideMark/>
          </w:tcPr>
          <w:p w14:paraId="4F169DF9"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(no) or 18 (yes)</w:t>
            </w:r>
          </w:p>
        </w:tc>
        <w:tc>
          <w:tcPr>
            <w:tcW w:w="4538" w:type="dxa"/>
            <w:tcBorders>
              <w:top w:val="nil"/>
              <w:left w:val="nil"/>
              <w:bottom w:val="nil"/>
              <w:right w:val="nil"/>
            </w:tcBorders>
            <w:shd w:val="clear" w:color="auto" w:fill="auto"/>
            <w:tcMar>
              <w:top w:w="26" w:type="dxa"/>
              <w:left w:w="26" w:type="dxa"/>
              <w:bottom w:w="0" w:type="dxa"/>
              <w:right w:w="26" w:type="dxa"/>
            </w:tcMar>
            <w:vAlign w:val="bottom"/>
            <w:hideMark/>
          </w:tcPr>
          <w:p w14:paraId="31B728A8"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w:t>
            </w:r>
          </w:p>
        </w:tc>
      </w:tr>
      <w:tr w:rsidR="009A6CA3" w:rsidRPr="009A6CA3" w14:paraId="6E9125B9" w14:textId="77777777" w:rsidTr="009A6CA3">
        <w:trPr>
          <w:trHeight w:val="570"/>
          <w:jc w:val="center"/>
        </w:trPr>
        <w:tc>
          <w:tcPr>
            <w:tcW w:w="2036" w:type="dxa"/>
            <w:tcBorders>
              <w:top w:val="nil"/>
              <w:left w:val="nil"/>
              <w:bottom w:val="single" w:sz="8" w:space="0" w:color="000000"/>
              <w:right w:val="nil"/>
            </w:tcBorders>
            <w:shd w:val="clear" w:color="auto" w:fill="auto"/>
            <w:tcMar>
              <w:top w:w="26" w:type="dxa"/>
              <w:left w:w="26" w:type="dxa"/>
              <w:bottom w:w="0" w:type="dxa"/>
              <w:right w:w="26" w:type="dxa"/>
            </w:tcMar>
            <w:vAlign w:val="bottom"/>
            <w:hideMark/>
          </w:tcPr>
          <w:p w14:paraId="36303313" w14:textId="77777777" w:rsidR="009A6CA3" w:rsidRPr="009A6CA3" w:rsidRDefault="009A6CA3" w:rsidP="009A6CA3">
            <w:pPr>
              <w:spacing w:after="0" w:line="240" w:lineRule="auto"/>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 xml:space="preserve">Hepatomegaly / </w:t>
            </w:r>
            <w:proofErr w:type="spellStart"/>
            <w:r w:rsidRPr="009A6CA3">
              <w:rPr>
                <w:rFonts w:ascii="Calibri" w:eastAsia="Times New Roman" w:hAnsi="Calibri" w:cs="Calibri"/>
                <w:color w:val="000000"/>
                <w:kern w:val="24"/>
                <w:sz w:val="20"/>
                <w:szCs w:val="20"/>
                <w:lang w:eastAsia="en-GB"/>
              </w:rPr>
              <w:t>Spelnomegaly</w:t>
            </w:r>
            <w:proofErr w:type="spellEnd"/>
          </w:p>
        </w:tc>
        <w:tc>
          <w:tcPr>
            <w:tcW w:w="2698" w:type="dxa"/>
            <w:tcBorders>
              <w:top w:val="nil"/>
              <w:left w:val="nil"/>
              <w:bottom w:val="single" w:sz="8" w:space="0" w:color="000000"/>
              <w:right w:val="nil"/>
            </w:tcBorders>
            <w:shd w:val="clear" w:color="auto" w:fill="auto"/>
            <w:tcMar>
              <w:top w:w="26" w:type="dxa"/>
              <w:left w:w="26" w:type="dxa"/>
              <w:bottom w:w="0" w:type="dxa"/>
              <w:right w:w="26" w:type="dxa"/>
            </w:tcMar>
            <w:vAlign w:val="bottom"/>
            <w:hideMark/>
          </w:tcPr>
          <w:p w14:paraId="72241F4A"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0 (none), 23 (either), or 38 (both)</w:t>
            </w:r>
          </w:p>
        </w:tc>
        <w:tc>
          <w:tcPr>
            <w:tcW w:w="4538" w:type="dxa"/>
            <w:tcBorders>
              <w:top w:val="nil"/>
              <w:left w:val="nil"/>
              <w:bottom w:val="single" w:sz="8" w:space="0" w:color="000000"/>
              <w:right w:val="nil"/>
            </w:tcBorders>
            <w:shd w:val="clear" w:color="auto" w:fill="auto"/>
            <w:tcMar>
              <w:top w:w="26" w:type="dxa"/>
              <w:left w:w="26" w:type="dxa"/>
              <w:bottom w:w="0" w:type="dxa"/>
              <w:right w:w="26" w:type="dxa"/>
            </w:tcMar>
            <w:vAlign w:val="bottom"/>
            <w:hideMark/>
          </w:tcPr>
          <w:p w14:paraId="6ED14D58" w14:textId="77777777" w:rsidR="009A6CA3" w:rsidRPr="009A6CA3" w:rsidRDefault="009A6CA3" w:rsidP="009A6CA3">
            <w:pPr>
              <w:spacing w:after="0" w:line="240" w:lineRule="auto"/>
              <w:jc w:val="center"/>
              <w:textAlignment w:val="bottom"/>
              <w:rPr>
                <w:rFonts w:ascii="Arial" w:eastAsia="Times New Roman" w:hAnsi="Arial" w:cs="Arial"/>
                <w:sz w:val="20"/>
                <w:szCs w:val="20"/>
                <w:lang w:eastAsia="en-GB"/>
              </w:rPr>
            </w:pPr>
            <w:r w:rsidRPr="009A6CA3">
              <w:rPr>
                <w:rFonts w:ascii="Calibri" w:eastAsia="Times New Roman" w:hAnsi="Calibri" w:cs="Calibri"/>
                <w:color w:val="000000"/>
                <w:kern w:val="24"/>
                <w:sz w:val="20"/>
                <w:szCs w:val="20"/>
                <w:lang w:eastAsia="en-GB"/>
              </w:rPr>
              <w:t>-</w:t>
            </w:r>
          </w:p>
        </w:tc>
      </w:tr>
      <w:tr w:rsidR="009A6CA3" w:rsidRPr="009A6CA3" w14:paraId="6893A6BD" w14:textId="77777777" w:rsidTr="009A6CA3">
        <w:trPr>
          <w:trHeight w:val="734"/>
          <w:jc w:val="center"/>
        </w:trPr>
        <w:tc>
          <w:tcPr>
            <w:tcW w:w="2036" w:type="dxa"/>
            <w:tcBorders>
              <w:top w:val="single" w:sz="8" w:space="0" w:color="000000"/>
              <w:left w:val="nil"/>
              <w:bottom w:val="single" w:sz="8" w:space="0" w:color="000000"/>
              <w:right w:val="nil"/>
            </w:tcBorders>
            <w:shd w:val="clear" w:color="auto" w:fill="D0CECE"/>
            <w:tcMar>
              <w:top w:w="26" w:type="dxa"/>
              <w:left w:w="26" w:type="dxa"/>
              <w:bottom w:w="0" w:type="dxa"/>
              <w:right w:w="26" w:type="dxa"/>
            </w:tcMar>
            <w:hideMark/>
          </w:tcPr>
          <w:p w14:paraId="516114AE" w14:textId="77777777" w:rsidR="009A6CA3" w:rsidRPr="009A6CA3" w:rsidRDefault="009A6CA3" w:rsidP="009A6CA3">
            <w:pPr>
              <w:spacing w:after="0" w:line="240" w:lineRule="auto"/>
              <w:textAlignment w:val="top"/>
              <w:rPr>
                <w:rFonts w:ascii="Arial" w:eastAsia="Times New Roman" w:hAnsi="Arial" w:cs="Arial"/>
                <w:sz w:val="20"/>
                <w:szCs w:val="20"/>
                <w:lang w:eastAsia="en-GB"/>
              </w:rPr>
            </w:pPr>
            <w:r w:rsidRPr="009A6CA3">
              <w:rPr>
                <w:rFonts w:ascii="Calibri" w:eastAsia="Times New Roman" w:hAnsi="Calibri" w:cs="Calibri"/>
                <w:b/>
                <w:bCs/>
                <w:color w:val="000000"/>
                <w:kern w:val="24"/>
                <w:sz w:val="20"/>
                <w:szCs w:val="20"/>
                <w:lang w:eastAsia="en-GB"/>
              </w:rPr>
              <w:t>Score</w:t>
            </w:r>
          </w:p>
        </w:tc>
        <w:tc>
          <w:tcPr>
            <w:tcW w:w="2698" w:type="dxa"/>
            <w:tcBorders>
              <w:top w:val="single" w:sz="8" w:space="0" w:color="000000"/>
              <w:left w:val="nil"/>
              <w:bottom w:val="single" w:sz="8" w:space="0" w:color="000000"/>
              <w:right w:val="nil"/>
            </w:tcBorders>
            <w:shd w:val="clear" w:color="auto" w:fill="D0CECE"/>
            <w:tcMar>
              <w:top w:w="26" w:type="dxa"/>
              <w:left w:w="26" w:type="dxa"/>
              <w:bottom w:w="0" w:type="dxa"/>
              <w:right w:w="26" w:type="dxa"/>
            </w:tcMar>
            <w:hideMark/>
          </w:tcPr>
          <w:p w14:paraId="14633566" w14:textId="77777777" w:rsidR="009A6CA3" w:rsidRPr="009A6CA3" w:rsidRDefault="009A6CA3" w:rsidP="009A6CA3">
            <w:pPr>
              <w:spacing w:after="0" w:line="240" w:lineRule="auto"/>
              <w:jc w:val="center"/>
              <w:textAlignment w:val="top"/>
              <w:rPr>
                <w:rFonts w:ascii="Arial" w:eastAsia="Times New Roman" w:hAnsi="Arial" w:cs="Arial"/>
                <w:sz w:val="20"/>
                <w:szCs w:val="20"/>
                <w:lang w:eastAsia="en-GB"/>
              </w:rPr>
            </w:pPr>
            <w:r w:rsidRPr="009A6CA3">
              <w:rPr>
                <w:rFonts w:ascii="Calibri" w:eastAsia="Times New Roman" w:hAnsi="Calibri" w:cs="Calibri"/>
                <w:b/>
                <w:bCs/>
                <w:color w:val="000000"/>
                <w:kern w:val="24"/>
                <w:sz w:val="20"/>
                <w:szCs w:val="20"/>
                <w:lang w:eastAsia="en-GB"/>
              </w:rPr>
              <w:t>Sum of points above (maximum 337)</w:t>
            </w:r>
          </w:p>
        </w:tc>
        <w:tc>
          <w:tcPr>
            <w:tcW w:w="4538" w:type="dxa"/>
            <w:tcBorders>
              <w:top w:val="single" w:sz="8" w:space="0" w:color="000000"/>
              <w:left w:val="nil"/>
              <w:bottom w:val="single" w:sz="8" w:space="0" w:color="000000"/>
              <w:right w:val="nil"/>
            </w:tcBorders>
            <w:shd w:val="clear" w:color="auto" w:fill="D0CECE"/>
            <w:tcMar>
              <w:top w:w="26" w:type="dxa"/>
              <w:left w:w="26" w:type="dxa"/>
              <w:bottom w:w="0" w:type="dxa"/>
              <w:right w:w="26" w:type="dxa"/>
            </w:tcMar>
            <w:hideMark/>
          </w:tcPr>
          <w:p w14:paraId="3D0449E5" w14:textId="77777777" w:rsidR="009A6CA3" w:rsidRPr="009A6CA3" w:rsidRDefault="009A6CA3" w:rsidP="009A6CA3">
            <w:pPr>
              <w:spacing w:after="0" w:line="240" w:lineRule="auto"/>
              <w:jc w:val="center"/>
              <w:textAlignment w:val="top"/>
              <w:rPr>
                <w:rFonts w:ascii="Arial" w:eastAsia="Times New Roman" w:hAnsi="Arial" w:cs="Arial"/>
                <w:sz w:val="20"/>
                <w:szCs w:val="20"/>
                <w:lang w:eastAsia="en-GB"/>
              </w:rPr>
            </w:pPr>
            <w:r w:rsidRPr="009A6CA3">
              <w:rPr>
                <w:rFonts w:ascii="Calibri" w:eastAsia="Times New Roman" w:hAnsi="Calibri" w:cs="Calibri"/>
                <w:b/>
                <w:bCs/>
                <w:color w:val="000000"/>
                <w:kern w:val="24"/>
                <w:sz w:val="20"/>
                <w:szCs w:val="20"/>
                <w:lang w:eastAsia="en-GB"/>
              </w:rPr>
              <w:t>Sum of points above / maximum score (maximum 100%)</w:t>
            </w:r>
          </w:p>
        </w:tc>
      </w:tr>
    </w:tbl>
    <w:p w14:paraId="30CA3563" w14:textId="77777777" w:rsidR="009A6CA3" w:rsidRDefault="009A6CA3" w:rsidP="009F2454">
      <w:pPr>
        <w:pStyle w:val="ListParagraph"/>
        <w:spacing w:line="360" w:lineRule="auto"/>
        <w:ind w:left="0"/>
      </w:pPr>
    </w:p>
    <w:p w14:paraId="0EC8F0AF" w14:textId="40C06AB3" w:rsidR="009F2454" w:rsidRDefault="009F2454" w:rsidP="009F2454">
      <w:pPr>
        <w:pStyle w:val="ListParagraph"/>
        <w:spacing w:line="360" w:lineRule="auto"/>
        <w:ind w:left="0"/>
      </w:pPr>
      <w:r>
        <w:t>Supplementary Table 1. HScore and %HScore parameters.</w:t>
      </w:r>
    </w:p>
    <w:p w14:paraId="4DC6145C" w14:textId="1EFA4122" w:rsidR="009F2454" w:rsidRDefault="009F2454" w:rsidP="009F2454">
      <w:pPr>
        <w:pStyle w:val="ListParagraph"/>
        <w:spacing w:after="0" w:line="360" w:lineRule="auto"/>
        <w:ind w:left="0"/>
      </w:pPr>
      <w:r>
        <w:t xml:space="preserve">Table to show the differences in between HScore </w:t>
      </w:r>
      <w:r>
        <w:rPr>
          <w:rFonts w:cstheme="minorHAnsi"/>
        </w:rPr>
        <w:fldChar w:fldCharType="begin"/>
      </w:r>
      <w:r>
        <w:rPr>
          <w:rFonts w:cstheme="minorHAnsi"/>
        </w:rPr>
        <w:instrText xml:space="preserve"> ADDIN EN.CITE &lt;EndNote&gt;&lt;Cite&gt;&lt;Author&gt;Fardet&lt;/Author&gt;&lt;Year&gt;2014&lt;/Year&gt;&lt;RecNum&gt;8299&lt;/RecNum&gt;&lt;DisplayText&gt;(7)&lt;/DisplayText&gt;&lt;record&gt;&lt;rec-number&gt;8299&lt;/rec-number&gt;&lt;foreign-keys&gt;&lt;key app="EN" db-id="xvsdddxd3arpdwev0z1p9xava2d5xffwvx5z" timestamp="1591783264"&gt;8299&lt;/key&gt;&lt;/foreign-keys&gt;&lt;ref-type name="Journal Article"&gt;17&lt;/ref-type&gt;&lt;contributors&gt;&lt;authors&gt;&lt;author&gt;Fardet, Laurence&lt;/author&gt;&lt;author&gt;Galicier, Lionel&lt;/author&gt;&lt;author&gt;Lambotte, Olivier&lt;/author&gt;&lt;author&gt;Marzac, Christophe&lt;/author&gt;&lt;author&gt;Aumont, Cedric&lt;/author&gt;&lt;author&gt;Chahwan, Doumit&lt;/author&gt;&lt;author&gt;Coppo, Paul&lt;/author&gt;&lt;author&gt;Hejblum, Gilles&lt;/author&gt;&lt;/authors&gt;&lt;/contributors&gt;&lt;titles&gt;&lt;title&gt;Development and validation of the HScore, a score for the diagnosis of reactive hemophagocytic syndrome&lt;/title&gt;&lt;secondary-title&gt;Arthritis &amp;amp; Rheumatology&lt;/secondary-title&gt;&lt;/titles&gt;&lt;periodical&gt;&lt;full-title&gt;Arthritis &amp;amp; Rheumatology&lt;/full-title&gt;&lt;/periodical&gt;&lt;pages&gt;2613-2620&lt;/pages&gt;&lt;volume&gt;66&lt;/volume&gt;&lt;number&gt;9&lt;/number&gt;&lt;dates&gt;&lt;year&gt;2014&lt;/year&gt;&lt;/dates&gt;&lt;isbn&gt;2326-5191&lt;/isbn&gt;&lt;urls&gt;&lt;/urls&gt;&lt;/record&gt;&lt;/Cite&gt;&lt;/EndNote&gt;</w:instrText>
      </w:r>
      <w:r>
        <w:rPr>
          <w:rFonts w:cstheme="minorHAnsi"/>
        </w:rPr>
        <w:fldChar w:fldCharType="separate"/>
      </w:r>
      <w:r>
        <w:rPr>
          <w:rFonts w:cstheme="minorHAnsi"/>
          <w:noProof/>
        </w:rPr>
        <w:t>(</w:t>
      </w:r>
      <w:r>
        <w:rPr>
          <w:rFonts w:cstheme="minorHAnsi"/>
          <w:noProof/>
        </w:rPr>
        <w:t>1</w:t>
      </w:r>
      <w:r>
        <w:rPr>
          <w:rFonts w:cstheme="minorHAnsi"/>
          <w:noProof/>
        </w:rPr>
        <w:t>)</w:t>
      </w:r>
      <w:r>
        <w:rPr>
          <w:rFonts w:cstheme="minorHAnsi"/>
        </w:rPr>
        <w:fldChar w:fldCharType="end"/>
      </w:r>
      <w:r>
        <w:rPr>
          <w:rFonts w:cstheme="minorHAnsi"/>
        </w:rPr>
        <w:t xml:space="preserve"> and %HScore</w:t>
      </w:r>
      <w:r>
        <w:t>.</w:t>
      </w:r>
    </w:p>
    <w:p w14:paraId="4307DC65" w14:textId="77777777" w:rsidR="009F2454" w:rsidRDefault="009F2454" w:rsidP="009F2454">
      <w:pPr>
        <w:spacing w:after="0" w:line="360" w:lineRule="auto"/>
      </w:pPr>
      <w:r w:rsidRPr="00CE1AD1">
        <w:t>*haemoglobin ≤92 g/L and/or WBC ≤5 x 10</w:t>
      </w:r>
      <w:r w:rsidRPr="00C207CA">
        <w:rPr>
          <w:vertAlign w:val="superscript"/>
        </w:rPr>
        <w:t>9</w:t>
      </w:r>
      <w:r w:rsidRPr="00CE1AD1">
        <w:t>/L and/or platelets ≤110 x 10</w:t>
      </w:r>
      <w:r w:rsidRPr="00C207CA">
        <w:rPr>
          <w:vertAlign w:val="superscript"/>
        </w:rPr>
        <w:t>9</w:t>
      </w:r>
      <w:r w:rsidRPr="00CE1AD1">
        <w:t>/L</w:t>
      </w:r>
    </w:p>
    <w:p w14:paraId="1F9EF9C4" w14:textId="77777777" w:rsidR="009F2454" w:rsidRPr="00CE1AD1" w:rsidRDefault="009F2454" w:rsidP="009F2454">
      <w:pPr>
        <w:spacing w:after="0" w:line="360" w:lineRule="auto"/>
      </w:pPr>
      <w:r w:rsidRPr="00CE1AD1">
        <w:t>**features on bone marrow aspirate</w:t>
      </w:r>
    </w:p>
    <w:p w14:paraId="30E09D56" w14:textId="77777777" w:rsidR="009F2454" w:rsidRPr="00CE1AD1" w:rsidRDefault="009F2454" w:rsidP="009F2454">
      <w:pPr>
        <w:spacing w:after="0" w:line="360" w:lineRule="auto"/>
      </w:pPr>
      <w:r w:rsidRPr="00CE1AD1">
        <w:t>AST, Aspartate Transaminase; ALT, Alanine aminotransferase; IU, International Units</w:t>
      </w:r>
    </w:p>
    <w:p w14:paraId="2B5E203A" w14:textId="189A14E5" w:rsidR="009F2454" w:rsidRDefault="009F2454" w:rsidP="009F2454"/>
    <w:p w14:paraId="6A205C99" w14:textId="768D3764" w:rsidR="009F2454" w:rsidRDefault="009F2454" w:rsidP="009F2454"/>
    <w:p w14:paraId="77D094F3" w14:textId="4A5EBE77" w:rsidR="009F2454" w:rsidRPr="0042053D" w:rsidRDefault="009F2454" w:rsidP="009F2454">
      <w:pPr>
        <w:pStyle w:val="EndNoteBibliography"/>
        <w:spacing w:after="0"/>
      </w:pPr>
      <w:r>
        <w:t>1</w:t>
      </w:r>
      <w:r w:rsidRPr="0042053D">
        <w:t>.</w:t>
      </w:r>
      <w:r w:rsidRPr="0042053D">
        <w:tab/>
        <w:t>Fardet L, Galicier L, Lambotte O, Marzac C, Aumont C, Chahwan D, et al. Development and validation of the HScore, a score for the diagnosis of reactive hemophagocytic syndrome. Arthritis &amp; Rheumatology. 2014;66(9):2613-20.</w:t>
      </w:r>
    </w:p>
    <w:p w14:paraId="2292E10E" w14:textId="77777777" w:rsidR="009F2454" w:rsidRDefault="009F2454" w:rsidP="009F2454">
      <w:bookmarkStart w:id="1" w:name="_GoBack"/>
      <w:bookmarkEnd w:id="1"/>
    </w:p>
    <w:sectPr w:rsidR="009F2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54"/>
    <w:rsid w:val="009A6CA3"/>
    <w:rsid w:val="009F2454"/>
    <w:rsid w:val="00CD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A0B4"/>
  <w15:chartTrackingRefBased/>
  <w15:docId w15:val="{DB05DB2C-EC0F-4748-A82D-CBA35678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54"/>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454"/>
    <w:pPr>
      <w:ind w:left="720"/>
      <w:contextualSpacing/>
    </w:pPr>
  </w:style>
  <w:style w:type="paragraph" w:customStyle="1" w:styleId="EndNoteBibliography">
    <w:name w:val="EndNote Bibliography"/>
    <w:basedOn w:val="Normal"/>
    <w:link w:val="EndNoteBibliographyChar"/>
    <w:rsid w:val="009F245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F2454"/>
    <w:rPr>
      <w:rFonts w:ascii="Calibri" w:eastAsiaTheme="minorEastAsia" w:hAnsi="Calibri" w:cs="Calibri"/>
      <w:noProof/>
      <w:lang w:eastAsia="zh-CN"/>
    </w:rPr>
  </w:style>
  <w:style w:type="paragraph" w:styleId="NormalWeb">
    <w:name w:val="Normal (Web)"/>
    <w:basedOn w:val="Normal"/>
    <w:uiPriority w:val="99"/>
    <w:semiHidden/>
    <w:unhideWhenUsed/>
    <w:rsid w:val="009A6C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98022">
      <w:bodyDiv w:val="1"/>
      <w:marLeft w:val="0"/>
      <w:marRight w:val="0"/>
      <w:marTop w:val="0"/>
      <w:marBottom w:val="0"/>
      <w:divBdr>
        <w:top w:val="none" w:sz="0" w:space="0" w:color="auto"/>
        <w:left w:val="none" w:sz="0" w:space="0" w:color="auto"/>
        <w:bottom w:val="none" w:sz="0" w:space="0" w:color="auto"/>
        <w:right w:val="none" w:sz="0" w:space="0" w:color="auto"/>
      </w:divBdr>
    </w:div>
    <w:div w:id="5466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Ardern-Jones</dc:creator>
  <cp:keywords/>
  <dc:description/>
  <cp:lastModifiedBy>Michael Ardern-Jones</cp:lastModifiedBy>
  <cp:revision>1</cp:revision>
  <dcterms:created xsi:type="dcterms:W3CDTF">2020-10-19T13:25:00Z</dcterms:created>
  <dcterms:modified xsi:type="dcterms:W3CDTF">2020-10-19T13:29:00Z</dcterms:modified>
</cp:coreProperties>
</file>