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06DDE" w14:textId="65B09269" w:rsidR="00C05C63" w:rsidRPr="00161752" w:rsidRDefault="0023792F" w:rsidP="00C05C63">
      <w:r>
        <w:rPr>
          <w:noProof/>
        </w:rPr>
        <w:drawing>
          <wp:inline distT="0" distB="0" distL="0" distR="0" wp14:anchorId="2CEC8A4E" wp14:editId="6ACDF920">
            <wp:extent cx="5943600" cy="4244340"/>
            <wp:effectExtent l="0" t="0" r="0" b="3810"/>
            <wp:docPr id="16" name="Picture 16" descr="C:\Users\MaH\Desktop\Covid Model\Figure2_update_full_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H\Desktop\Covid Model\Figure2_update_full_rang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4244340"/>
                    </a:xfrm>
                    <a:prstGeom prst="rect">
                      <a:avLst/>
                    </a:prstGeom>
                    <a:noFill/>
                    <a:ln>
                      <a:noFill/>
                    </a:ln>
                  </pic:spPr>
                </pic:pic>
              </a:graphicData>
            </a:graphic>
          </wp:inline>
        </w:drawing>
      </w:r>
    </w:p>
    <w:p w14:paraId="37D3D04A" w14:textId="0DC41926" w:rsidR="004D1759" w:rsidRPr="006A5FD1" w:rsidRDefault="004D1759" w:rsidP="006A5FD1">
      <w:pPr>
        <w:pStyle w:val="CommentText"/>
        <w:spacing w:after="0"/>
        <w:jc w:val="both"/>
        <w:rPr>
          <w:rFonts w:ascii="Times New Roman" w:hAnsi="Times New Roman" w:cs="Times New Roman"/>
          <w:iCs/>
        </w:rPr>
      </w:pPr>
      <w:r w:rsidRPr="006A5FD1">
        <w:rPr>
          <w:rFonts w:ascii="Times New Roman" w:hAnsi="Times New Roman" w:cs="Times New Roman"/>
          <w:b/>
          <w:bCs/>
          <w:lang w:val="en-CA"/>
        </w:rPr>
        <w:t>Appendix 2 Figure 2.1. Cumulative detected cases per 100,000 population across simulated epidemic scenarios.</w:t>
      </w:r>
      <w:r w:rsidRPr="006A5FD1">
        <w:rPr>
          <w:rFonts w:ascii="Times New Roman" w:hAnsi="Times New Roman" w:cs="Times New Roman"/>
          <w:lang w:val="en-CA"/>
        </w:rPr>
        <w:t xml:space="preserve"> Model outputs from the sampled range of parameters in Table 1 which meet the model constraints are shown for detected cases as solid lines. The model output for the fast/large epidemic is shown in green and slow/small epidemic in blue, selected as the upper and lower quartile of peak incidence, respectively, within the first 300 days. The default (solid red line) depicts the default scenario (Table 1). Simulated timeline begins at the start of the ‘seeding’ of the population with 0.0011-0.0048% of the population already infected with SARS-Cov-2. For observed </w:t>
      </w:r>
      <w:r w:rsidRPr="006A5FD1">
        <w:rPr>
          <w:rFonts w:ascii="Times New Roman" w:hAnsi="Times New Roman" w:cs="Times New Roman"/>
        </w:rPr>
        <w:t xml:space="preserve">data, we define outbreak started when 3 confirmed cases were observed. </w:t>
      </w:r>
    </w:p>
    <w:p w14:paraId="53EA7D46" w14:textId="48D7F58B" w:rsidR="00C05C63" w:rsidRPr="00461779" w:rsidRDefault="00C728A5" w:rsidP="00C05C63">
      <w:pPr>
        <w:rPr>
          <w:rFonts w:ascii="Times New Roman" w:hAnsi="Times New Roman" w:cs="Times New Roman"/>
          <w:iCs/>
          <w:sz w:val="20"/>
          <w:szCs w:val="20"/>
        </w:rPr>
      </w:pPr>
      <w:r>
        <w:br w:type="page"/>
      </w:r>
      <w:r w:rsidR="00951493">
        <w:rPr>
          <w:rFonts w:ascii="Times New Roman" w:hAnsi="Times New Roman" w:cs="Times New Roman"/>
          <w:b/>
          <w:bCs/>
          <w:noProof/>
          <w:sz w:val="20"/>
          <w:szCs w:val="20"/>
          <w:lang w:val="en-CA"/>
        </w:rPr>
        <w:lastRenderedPageBreak/>
        <w:drawing>
          <wp:anchor distT="0" distB="0" distL="114300" distR="114300" simplePos="0" relativeHeight="251672576" behindDoc="1" locked="0" layoutInCell="1" allowOverlap="1" wp14:anchorId="0A38E875" wp14:editId="309C2814">
            <wp:simplePos x="0" y="0"/>
            <wp:positionH relativeFrom="column">
              <wp:posOffset>556260</wp:posOffset>
            </wp:positionH>
            <wp:positionV relativeFrom="paragraph">
              <wp:posOffset>250825</wp:posOffset>
            </wp:positionV>
            <wp:extent cx="2796540" cy="2330450"/>
            <wp:effectExtent l="0" t="0" r="3810" b="0"/>
            <wp:wrapTight wrapText="bothSides">
              <wp:wrapPolygon edited="0">
                <wp:start x="0" y="0"/>
                <wp:lineTo x="0" y="21365"/>
                <wp:lineTo x="21482" y="21365"/>
                <wp:lineTo x="21482" y="0"/>
                <wp:lineTo x="0" y="0"/>
              </wp:wrapPolygon>
            </wp:wrapTight>
            <wp:docPr id="9" name="Picture 9"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nyserivcesNOicu_90_predict_SJ_cuty_Apr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6540" cy="2330450"/>
                    </a:xfrm>
                    <a:prstGeom prst="rect">
                      <a:avLst/>
                    </a:prstGeom>
                  </pic:spPr>
                </pic:pic>
              </a:graphicData>
            </a:graphic>
            <wp14:sizeRelH relativeFrom="margin">
              <wp14:pctWidth>0</wp14:pctWidth>
            </wp14:sizeRelH>
            <wp14:sizeRelV relativeFrom="margin">
              <wp14:pctHeight>0</wp14:pctHeight>
            </wp14:sizeRelV>
          </wp:anchor>
        </w:drawing>
      </w:r>
      <w:r w:rsidR="00951493">
        <w:rPr>
          <w:noProof/>
          <w:lang w:val="en-CA"/>
        </w:rPr>
        <w:drawing>
          <wp:anchor distT="0" distB="0" distL="114300" distR="114300" simplePos="0" relativeHeight="251671552" behindDoc="1" locked="0" layoutInCell="1" allowOverlap="1" wp14:anchorId="1D405926" wp14:editId="6261B353">
            <wp:simplePos x="0" y="0"/>
            <wp:positionH relativeFrom="column">
              <wp:posOffset>0</wp:posOffset>
            </wp:positionH>
            <wp:positionV relativeFrom="paragraph">
              <wp:posOffset>0</wp:posOffset>
            </wp:positionV>
            <wp:extent cx="5943600" cy="4245610"/>
            <wp:effectExtent l="0" t="0" r="0" b="2540"/>
            <wp:wrapTight wrapText="bothSides">
              <wp:wrapPolygon edited="0">
                <wp:start x="0" y="0"/>
                <wp:lineTo x="0" y="21516"/>
                <wp:lineTo x="21531" y="21516"/>
                <wp:lineTo x="21531" y="0"/>
                <wp:lineTo x="0" y="0"/>
              </wp:wrapPolygon>
            </wp:wrapTight>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yserivcesNOicu_90_predict_SJ_Apr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245610"/>
                    </a:xfrm>
                    <a:prstGeom prst="rect">
                      <a:avLst/>
                    </a:prstGeom>
                  </pic:spPr>
                </pic:pic>
              </a:graphicData>
            </a:graphic>
          </wp:anchor>
        </w:drawing>
      </w:r>
      <w:r w:rsidR="00C05C63" w:rsidRPr="00F25310">
        <w:rPr>
          <w:lang w:val="en-CA"/>
        </w:rPr>
        <w:t xml:space="preserve"> </w:t>
      </w:r>
    </w:p>
    <w:p w14:paraId="65D4D0D3" w14:textId="1FF3B076" w:rsidR="00C728A5" w:rsidRPr="006A5FD1" w:rsidRDefault="00C728A5" w:rsidP="006A5FD1">
      <w:pPr>
        <w:spacing w:after="0" w:line="240" w:lineRule="auto"/>
        <w:jc w:val="both"/>
        <w:rPr>
          <w:rFonts w:ascii="Times New Roman" w:hAnsi="Times New Roman" w:cs="Times New Roman"/>
          <w:sz w:val="20"/>
          <w:szCs w:val="20"/>
        </w:rPr>
      </w:pPr>
      <w:r w:rsidRPr="003B60ED">
        <w:rPr>
          <w:rFonts w:ascii="Times New Roman" w:hAnsi="Times New Roman" w:cs="Times New Roman"/>
          <w:b/>
          <w:bCs/>
          <w:sz w:val="20"/>
          <w:szCs w:val="20"/>
          <w:lang w:val="en-CA"/>
        </w:rPr>
        <w:t>Appendix</w:t>
      </w:r>
      <w:r w:rsidR="004D1759" w:rsidRPr="003B60ED">
        <w:rPr>
          <w:rFonts w:ascii="Times New Roman" w:hAnsi="Times New Roman" w:cs="Times New Roman"/>
          <w:b/>
          <w:bCs/>
          <w:sz w:val="20"/>
          <w:szCs w:val="20"/>
          <w:lang w:val="en-CA"/>
        </w:rPr>
        <w:t xml:space="preserve"> 2</w:t>
      </w:r>
      <w:r w:rsidRPr="003B60ED">
        <w:rPr>
          <w:rFonts w:ascii="Times New Roman" w:hAnsi="Times New Roman" w:cs="Times New Roman"/>
          <w:b/>
          <w:bCs/>
          <w:sz w:val="20"/>
          <w:szCs w:val="20"/>
          <w:lang w:val="en-CA"/>
        </w:rPr>
        <w:t xml:space="preserve"> Figure </w:t>
      </w:r>
      <w:r w:rsidR="004D1759" w:rsidRPr="003B60ED">
        <w:rPr>
          <w:rFonts w:ascii="Times New Roman" w:hAnsi="Times New Roman" w:cs="Times New Roman"/>
          <w:b/>
          <w:bCs/>
          <w:sz w:val="20"/>
          <w:szCs w:val="20"/>
          <w:lang w:val="en-CA"/>
        </w:rPr>
        <w:t>2.2</w:t>
      </w:r>
      <w:r w:rsidRPr="003B60ED">
        <w:rPr>
          <w:rFonts w:ascii="Times New Roman" w:hAnsi="Times New Roman" w:cs="Times New Roman"/>
          <w:b/>
          <w:bCs/>
          <w:sz w:val="20"/>
          <w:szCs w:val="20"/>
          <w:lang w:val="en-CA"/>
        </w:rPr>
        <w:t xml:space="preserve">. </w:t>
      </w:r>
      <w:r w:rsidRPr="006A5FD1">
        <w:rPr>
          <w:rFonts w:ascii="Times New Roman" w:hAnsi="Times New Roman" w:cs="Times New Roman"/>
          <w:b/>
          <w:bCs/>
          <w:sz w:val="20"/>
          <w:szCs w:val="20"/>
          <w:lang w:val="en-CA"/>
        </w:rPr>
        <w:t>Estimated surge and capacity for non-ICU hospitalization at St. Joseph's Hospital in the Greater Toronto Area</w:t>
      </w:r>
      <w:r w:rsidRPr="006A5FD1">
        <w:rPr>
          <w:rFonts w:ascii="Times New Roman" w:hAnsi="Times New Roman" w:cs="Times New Roman"/>
          <w:sz w:val="20"/>
          <w:szCs w:val="20"/>
          <w:lang w:val="en-CA"/>
        </w:rPr>
        <w:t xml:space="preserve">. </w:t>
      </w:r>
      <w:r w:rsidR="006A5FD1" w:rsidRPr="006A5FD1">
        <w:rPr>
          <w:rFonts w:ascii="Times New Roman" w:hAnsi="Times New Roman" w:cs="Times New Roman"/>
          <w:sz w:val="20"/>
          <w:szCs w:val="20"/>
          <w:lang w:val="en-CA"/>
        </w:rPr>
        <w:t xml:space="preserve">(A) Modeled number of non-ICU inpatients (including inpatients with and without COVID-19) and corresponding pre-outbreak baseline (non-COVID) number of non-ICU inpatients per day over 90 days. *Estimated by the median number of non-ICU inpatients at SJH between March – June, 2014-2019. (B) Same information as (A) but the y-axis ranged between </w:t>
      </w:r>
      <w:r w:rsidR="006A5FD1" w:rsidRPr="003B60ED">
        <w:rPr>
          <w:rFonts w:ascii="Times New Roman" w:hAnsi="Times New Roman" w:cs="Times New Roman"/>
          <w:sz w:val="20"/>
          <w:szCs w:val="20"/>
          <w:lang w:val="en-CA"/>
        </w:rPr>
        <w:t>200-600.</w:t>
      </w:r>
      <w:r w:rsidR="006A5FD1" w:rsidRPr="006A5FD1">
        <w:rPr>
          <w:rFonts w:ascii="Times New Roman" w:hAnsi="Times New Roman" w:cs="Times New Roman"/>
          <w:sz w:val="20"/>
          <w:szCs w:val="20"/>
          <w:lang w:val="en-CA"/>
        </w:rPr>
        <w:t xml:space="preserve"> Estimates assume that distribution of non-ICU hospital admissions for patients with COVID-19 follows the pre-outbreak catchment of all non-ICU admissions across acute care hospitals in the Greater Toronto Area (March – August 2019), such that SJH receives </w:t>
      </w:r>
      <w:r w:rsidR="00715564">
        <w:rPr>
          <w:rFonts w:ascii="Times New Roman" w:hAnsi="Times New Roman" w:cs="Times New Roman"/>
          <w:sz w:val="20"/>
          <w:szCs w:val="20"/>
          <w:lang w:val="en-CA"/>
        </w:rPr>
        <w:t>4.0</w:t>
      </w:r>
      <w:r w:rsidR="006A5FD1" w:rsidRPr="006A5FD1">
        <w:rPr>
          <w:rFonts w:ascii="Times New Roman" w:hAnsi="Times New Roman" w:cs="Times New Roman"/>
          <w:sz w:val="20"/>
          <w:szCs w:val="20"/>
          <w:lang w:val="en-CA"/>
        </w:rPr>
        <w:t>% of all non-ICU hospital admissions. Our use of observed data on hospital-specific non-ICU admissions during March-June (black line) are not meant to indicate a start-date of the outbreak as March 1. All three scenarios (default, fast/large, and slow/small) assume that physical distancing started on day 30 and reduced contact rates by 20%, but has not increased nor decreased; and that the proportion of individuals with non-severe COVID-19 who self-isolate (e.g. via diagnosis of confirmed/suspected COVID-19) has not changed over the course of the epidemic. Abbreviations: ICU: intensive care unit; SJH: St. Joseph's Hospital.</w:t>
      </w:r>
    </w:p>
    <w:p w14:paraId="305C2C29" w14:textId="4BB3EE8E" w:rsidR="00C83390" w:rsidRDefault="00863051">
      <w:r>
        <w:rPr>
          <w:noProof/>
        </w:rPr>
        <w:lastRenderedPageBreak/>
        <w:drawing>
          <wp:anchor distT="0" distB="0" distL="114300" distR="114300" simplePos="0" relativeHeight="251669504" behindDoc="0" locked="0" layoutInCell="1" allowOverlap="1" wp14:anchorId="645D0F8C" wp14:editId="3B8DEA79">
            <wp:simplePos x="0" y="0"/>
            <wp:positionH relativeFrom="column">
              <wp:posOffset>502920</wp:posOffset>
            </wp:positionH>
            <wp:positionV relativeFrom="paragraph">
              <wp:posOffset>236219</wp:posOffset>
            </wp:positionV>
            <wp:extent cx="3048000" cy="2539431"/>
            <wp:effectExtent l="0" t="0" r="0" b="0"/>
            <wp:wrapNone/>
            <wp:docPr id="5" name="Picture 5" descr="C:\Users\MaH\Desktop\Covid Model\ICU_90_predict_SJ_c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H\Desktop\Covid Model\ICU_90_predict_SJ_cut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0" cy="253943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804219B" wp14:editId="5B9E3A3C">
            <wp:extent cx="5943600" cy="4244340"/>
            <wp:effectExtent l="0" t="0" r="0" b="3810"/>
            <wp:docPr id="4" name="Picture 4" descr="C:\Users\MaH\Desktop\Covid Model\ICU_90_predict_S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H\Desktop\Covid Model\ICU_90_predict_SJ.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244340"/>
                    </a:xfrm>
                    <a:prstGeom prst="rect">
                      <a:avLst/>
                    </a:prstGeom>
                    <a:noFill/>
                    <a:ln>
                      <a:noFill/>
                    </a:ln>
                  </pic:spPr>
                </pic:pic>
              </a:graphicData>
            </a:graphic>
          </wp:inline>
        </w:drawing>
      </w:r>
    </w:p>
    <w:p w14:paraId="5B16DDE3" w14:textId="1E340791" w:rsidR="00C83390" w:rsidRPr="003B60ED" w:rsidRDefault="00C83390" w:rsidP="006A5FD1">
      <w:pPr>
        <w:spacing w:after="0" w:line="240" w:lineRule="auto"/>
        <w:jc w:val="both"/>
        <w:rPr>
          <w:rFonts w:ascii="Times New Roman" w:hAnsi="Times New Roman" w:cs="Times New Roman"/>
          <w:sz w:val="20"/>
        </w:rPr>
      </w:pPr>
      <w:r w:rsidRPr="003B60ED">
        <w:rPr>
          <w:rFonts w:ascii="Times New Roman" w:hAnsi="Times New Roman" w:cs="Times New Roman"/>
          <w:b/>
          <w:bCs/>
          <w:sz w:val="20"/>
          <w:lang w:val="en-CA"/>
        </w:rPr>
        <w:t>Appendix</w:t>
      </w:r>
      <w:r w:rsidR="002E2525" w:rsidRPr="003B60ED">
        <w:rPr>
          <w:rFonts w:ascii="Times New Roman" w:hAnsi="Times New Roman" w:cs="Times New Roman"/>
          <w:b/>
          <w:bCs/>
          <w:sz w:val="20"/>
          <w:lang w:val="en-CA"/>
        </w:rPr>
        <w:t xml:space="preserve"> 2</w:t>
      </w:r>
      <w:r w:rsidRPr="003B60ED">
        <w:rPr>
          <w:rFonts w:ascii="Times New Roman" w:hAnsi="Times New Roman" w:cs="Times New Roman"/>
          <w:b/>
          <w:bCs/>
          <w:sz w:val="20"/>
          <w:lang w:val="en-CA"/>
        </w:rPr>
        <w:t xml:space="preserve"> for Figure </w:t>
      </w:r>
      <w:r w:rsidR="002E2525" w:rsidRPr="003B60ED">
        <w:rPr>
          <w:rFonts w:ascii="Times New Roman" w:hAnsi="Times New Roman" w:cs="Times New Roman"/>
          <w:b/>
          <w:bCs/>
          <w:sz w:val="20"/>
          <w:lang w:val="en-CA"/>
        </w:rPr>
        <w:t>2.3</w:t>
      </w:r>
      <w:r w:rsidRPr="003B60ED">
        <w:rPr>
          <w:rFonts w:ascii="Times New Roman" w:hAnsi="Times New Roman" w:cs="Times New Roman"/>
          <w:b/>
          <w:bCs/>
          <w:sz w:val="20"/>
          <w:lang w:val="en-CA"/>
        </w:rPr>
        <w:t>. Estimated surge and capacity for ICU care at St. Joseph's Hospital (SJH) in the Greater Toronto Area</w:t>
      </w:r>
      <w:r w:rsidRPr="003B60ED">
        <w:rPr>
          <w:rFonts w:ascii="Times New Roman" w:hAnsi="Times New Roman" w:cs="Times New Roman"/>
          <w:sz w:val="20"/>
          <w:lang w:val="en-CA"/>
        </w:rPr>
        <w:t xml:space="preserve">. </w:t>
      </w:r>
      <w:r w:rsidR="006A5FD1" w:rsidRPr="003B60ED">
        <w:rPr>
          <w:rFonts w:ascii="Times New Roman" w:hAnsi="Times New Roman" w:cs="Times New Roman"/>
          <w:sz w:val="20"/>
          <w:lang w:val="en-CA"/>
        </w:rPr>
        <w:t xml:space="preserve">(A) Modeled number of ICU inpatients (including inpatients with and without COVID-19) and corresponding pre-outbreak baseline (non-COVID) number of ICU inpatients. *Estimated by the median number of ICU inpatients at SJH between March – June, 2014-2019). (B) Same information as (A) but the y-axis ranged between </w:t>
      </w:r>
      <w:r w:rsidR="00853720" w:rsidRPr="003B60ED">
        <w:rPr>
          <w:rFonts w:ascii="Times New Roman" w:hAnsi="Times New Roman" w:cs="Times New Roman"/>
          <w:sz w:val="20"/>
          <w:lang w:val="en-CA"/>
        </w:rPr>
        <w:t>0</w:t>
      </w:r>
      <w:r w:rsidR="006A5FD1" w:rsidRPr="003B60ED">
        <w:rPr>
          <w:rFonts w:ascii="Times New Roman" w:hAnsi="Times New Roman" w:cs="Times New Roman"/>
          <w:sz w:val="20"/>
          <w:lang w:val="en-CA"/>
        </w:rPr>
        <w:t>-</w:t>
      </w:r>
      <w:r w:rsidR="00853720" w:rsidRPr="003B60ED">
        <w:rPr>
          <w:rFonts w:ascii="Times New Roman" w:hAnsi="Times New Roman" w:cs="Times New Roman"/>
          <w:sz w:val="20"/>
          <w:lang w:val="en-CA"/>
        </w:rPr>
        <w:t>6</w:t>
      </w:r>
      <w:r w:rsidR="006A5FD1" w:rsidRPr="003B60ED">
        <w:rPr>
          <w:rFonts w:ascii="Times New Roman" w:hAnsi="Times New Roman" w:cs="Times New Roman"/>
          <w:sz w:val="20"/>
          <w:lang w:val="en-CA"/>
        </w:rPr>
        <w:t xml:space="preserve">0. Estimates assume that distribution ICU admissions for patients with COVID-19 follows the pre-outbreak catchment of all ICU admissions across acute care hospitals in the Greater Toronto Area (March – August 2019), such that SJH receives </w:t>
      </w:r>
      <w:r w:rsidR="00853720" w:rsidRPr="003B60ED">
        <w:rPr>
          <w:rFonts w:ascii="Times New Roman" w:hAnsi="Times New Roman" w:cs="Times New Roman"/>
          <w:sz w:val="20"/>
          <w:lang w:val="en-CA"/>
        </w:rPr>
        <w:t>2.3</w:t>
      </w:r>
      <w:r w:rsidR="006A5FD1" w:rsidRPr="003B60ED">
        <w:rPr>
          <w:rFonts w:ascii="Times New Roman" w:hAnsi="Times New Roman" w:cs="Times New Roman"/>
          <w:sz w:val="20"/>
          <w:lang w:val="en-CA"/>
        </w:rPr>
        <w:t>% of all ICU hospital admissions. Our use of observed data on hospital-specific ICU admissions during March-June (black line) are not meant to indicate a start-date of the outbreak as March 1. All three scenarios (default, fast/large, and slow/small) assume that physical distancing started on day 30 and reduced contact rates by 20%, but has not increased nor decreased; and that the proportion of individuals with non-severe COVID-19 who self-isolate (e.g. via diagnosis of confirmed/suspected COVID-19 or without) has not changed over the course of the epidemic. Abbreviations: ICU: intensive care unit; SJH: St. Joseph’s Hospital.</w:t>
      </w:r>
    </w:p>
    <w:p w14:paraId="174B21C3" w14:textId="69790F6C" w:rsidR="002E2525" w:rsidRDefault="002E2525" w:rsidP="00F1711A"/>
    <w:p w14:paraId="64A50320" w14:textId="77777777" w:rsidR="000E7F34" w:rsidRDefault="000E7F34" w:rsidP="006A5FD1">
      <w:pPr>
        <w:spacing w:after="0" w:line="240" w:lineRule="auto"/>
        <w:jc w:val="both"/>
        <w:rPr>
          <w:rFonts w:ascii="Times New Roman" w:hAnsi="Times New Roman" w:cs="Times New Roman"/>
          <w:b/>
          <w:bCs/>
          <w:sz w:val="20"/>
          <w:szCs w:val="20"/>
          <w:lang w:val="en-CA"/>
        </w:rPr>
      </w:pPr>
    </w:p>
    <w:p w14:paraId="2975D6D7" w14:textId="62E161CB" w:rsidR="000E7F34" w:rsidRDefault="00AC54C4" w:rsidP="006A5FD1">
      <w:pPr>
        <w:spacing w:after="0" w:line="240" w:lineRule="auto"/>
        <w:jc w:val="both"/>
        <w:rPr>
          <w:rFonts w:ascii="Times New Roman" w:hAnsi="Times New Roman" w:cs="Times New Roman"/>
          <w:b/>
          <w:bCs/>
          <w:sz w:val="20"/>
          <w:szCs w:val="20"/>
          <w:lang w:val="en-CA"/>
        </w:rPr>
      </w:pPr>
      <w:r>
        <w:rPr>
          <w:rFonts w:ascii="Times New Roman" w:hAnsi="Times New Roman" w:cs="Times New Roman"/>
          <w:b/>
          <w:bCs/>
          <w:noProof/>
          <w:sz w:val="20"/>
          <w:szCs w:val="20"/>
        </w:rPr>
        <w:lastRenderedPageBreak/>
        <w:drawing>
          <wp:inline distT="0" distB="0" distL="0" distR="0" wp14:anchorId="1FDDA8BE" wp14:editId="23DA4E48">
            <wp:extent cx="5936615" cy="6996430"/>
            <wp:effectExtent l="0" t="0" r="6985" b="0"/>
            <wp:docPr id="2" name="Picture 2" descr="C:\Users\MaH\Desktop\Covid Model\Rplo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Desktop\Covid Model\Rplot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6615" cy="6996430"/>
                    </a:xfrm>
                    <a:prstGeom prst="rect">
                      <a:avLst/>
                    </a:prstGeom>
                    <a:noFill/>
                    <a:ln>
                      <a:noFill/>
                    </a:ln>
                  </pic:spPr>
                </pic:pic>
              </a:graphicData>
            </a:graphic>
          </wp:inline>
        </w:drawing>
      </w:r>
    </w:p>
    <w:p w14:paraId="3030EAAA" w14:textId="0E50582E" w:rsidR="004940E1" w:rsidRDefault="00FF495C" w:rsidP="00CE4635">
      <w:pPr>
        <w:spacing w:after="0" w:line="240" w:lineRule="auto"/>
        <w:jc w:val="both"/>
        <w:rPr>
          <w:rFonts w:ascii="Times New Roman" w:hAnsi="Times New Roman" w:cs="Times New Roman"/>
          <w:b/>
          <w:bCs/>
          <w:sz w:val="20"/>
          <w:szCs w:val="20"/>
          <w:lang w:val="en-CA"/>
        </w:rPr>
      </w:pPr>
      <w:r>
        <w:rPr>
          <w:rFonts w:ascii="Times New Roman" w:hAnsi="Times New Roman" w:cs="Times New Roman"/>
          <w:b/>
          <w:bCs/>
          <w:noProof/>
          <w:sz w:val="20"/>
          <w:szCs w:val="20"/>
        </w:rPr>
        <w:lastRenderedPageBreak/>
        <w:drawing>
          <wp:inline distT="0" distB="0" distL="0" distR="0" wp14:anchorId="4379EE9E" wp14:editId="70C69BB5">
            <wp:extent cx="5937250" cy="4660900"/>
            <wp:effectExtent l="0" t="0" r="6350" b="6350"/>
            <wp:docPr id="7" name="Picture 7" descr="C:\Users\MaH\Desktop\Covid Model\Rplot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H\Desktop\Covid Model\Rplot1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7250" cy="4660900"/>
                    </a:xfrm>
                    <a:prstGeom prst="rect">
                      <a:avLst/>
                    </a:prstGeom>
                    <a:noFill/>
                    <a:ln>
                      <a:noFill/>
                    </a:ln>
                  </pic:spPr>
                </pic:pic>
              </a:graphicData>
            </a:graphic>
          </wp:inline>
        </w:drawing>
      </w:r>
    </w:p>
    <w:p w14:paraId="2D55B0C1" w14:textId="77777777" w:rsidR="004940E1" w:rsidRDefault="004940E1" w:rsidP="00CE4635">
      <w:pPr>
        <w:spacing w:after="0" w:line="240" w:lineRule="auto"/>
        <w:jc w:val="both"/>
        <w:rPr>
          <w:rFonts w:ascii="Times New Roman" w:hAnsi="Times New Roman" w:cs="Times New Roman"/>
          <w:b/>
          <w:bCs/>
          <w:sz w:val="20"/>
          <w:szCs w:val="20"/>
          <w:lang w:val="en-CA"/>
        </w:rPr>
      </w:pPr>
    </w:p>
    <w:p w14:paraId="5214D1EC" w14:textId="4ACBA5F3" w:rsidR="00CE4635" w:rsidRPr="006A5FD1" w:rsidRDefault="00CE4635" w:rsidP="00CE4635">
      <w:pPr>
        <w:spacing w:after="0" w:line="240" w:lineRule="auto"/>
        <w:jc w:val="both"/>
        <w:rPr>
          <w:rFonts w:ascii="Times New Roman" w:hAnsi="Times New Roman" w:cs="Times New Roman"/>
          <w:sz w:val="20"/>
          <w:szCs w:val="20"/>
        </w:rPr>
      </w:pPr>
      <w:r w:rsidRPr="000E7F34">
        <w:rPr>
          <w:rFonts w:ascii="Times New Roman" w:hAnsi="Times New Roman" w:cs="Times New Roman"/>
          <w:b/>
          <w:bCs/>
          <w:sz w:val="20"/>
          <w:szCs w:val="20"/>
          <w:lang w:val="en-CA"/>
        </w:rPr>
        <w:t>Appendix 2 for Figure 2.</w:t>
      </w:r>
      <w:r w:rsidR="00712296">
        <w:rPr>
          <w:rFonts w:ascii="Times New Roman" w:hAnsi="Times New Roman" w:cs="Times New Roman"/>
          <w:b/>
          <w:bCs/>
          <w:sz w:val="20"/>
          <w:szCs w:val="20"/>
          <w:lang w:val="en-CA"/>
        </w:rPr>
        <w:t>4</w:t>
      </w:r>
      <w:r w:rsidRPr="000E7F34">
        <w:rPr>
          <w:rFonts w:ascii="Times New Roman" w:hAnsi="Times New Roman" w:cs="Times New Roman"/>
          <w:b/>
          <w:bCs/>
          <w:sz w:val="20"/>
          <w:szCs w:val="20"/>
          <w:lang w:val="en-CA"/>
        </w:rPr>
        <w:t>. One-way sensitivity analyses using default epidemic scenario for prevalence of ICU</w:t>
      </w:r>
      <w:r w:rsidRPr="006A5FD1">
        <w:rPr>
          <w:rFonts w:ascii="Times New Roman" w:hAnsi="Times New Roman" w:cs="Times New Roman"/>
          <w:b/>
          <w:bCs/>
          <w:color w:val="FF0000"/>
          <w:sz w:val="20"/>
          <w:szCs w:val="20"/>
          <w:lang w:val="en-CA"/>
        </w:rPr>
        <w:t xml:space="preserve"> </w:t>
      </w:r>
      <w:r w:rsidRPr="006A5FD1">
        <w:rPr>
          <w:rFonts w:ascii="Times New Roman" w:hAnsi="Times New Roman" w:cs="Times New Roman"/>
          <w:b/>
          <w:bCs/>
          <w:sz w:val="20"/>
          <w:szCs w:val="20"/>
          <w:lang w:val="en-CA"/>
        </w:rPr>
        <w:t>inpatients with COVID-19 at St. Michael’s Hospital.</w:t>
      </w:r>
      <w:r w:rsidRPr="006A5FD1">
        <w:rPr>
          <w:rFonts w:ascii="Times New Roman" w:hAnsi="Times New Roman" w:cs="Times New Roman"/>
          <w:sz w:val="20"/>
          <w:szCs w:val="20"/>
          <w:lang w:val="en-CA"/>
        </w:rPr>
        <w:t xml:space="preserve"> </w:t>
      </w:r>
      <w:r w:rsidRPr="006A5FD1">
        <w:rPr>
          <w:rFonts w:ascii="Times New Roman" w:hAnsi="Times New Roman" w:cs="Times New Roman"/>
          <w:sz w:val="20"/>
          <w:szCs w:val="20"/>
        </w:rPr>
        <w:t xml:space="preserve"> </w:t>
      </w:r>
      <w:r w:rsidRPr="006A5FD1">
        <w:rPr>
          <w:rFonts w:ascii="Times New Roman" w:hAnsi="Times New Roman" w:cs="Times New Roman"/>
          <w:sz w:val="20"/>
          <w:szCs w:val="20"/>
          <w:lang w:val="en-CA"/>
        </w:rPr>
        <w:t>The influence of (A) seeding (proportion of population already infected with COVID-19 just at the start of the outbreak); and (B) clinical severity (proportion of individuals infected with COVID-19 who require hospitalization);  (C) earlier or later initiation of physical distancing (from start of outbreak to 60 days after outbreak started); (D) proportion of individuals with non-severe COVID-19 who are diagnosed and/or self-isolate</w:t>
      </w:r>
      <w:r w:rsidR="00791100">
        <w:rPr>
          <w:rFonts w:ascii="Times New Roman" w:hAnsi="Times New Roman" w:cs="Times New Roman"/>
          <w:sz w:val="20"/>
          <w:szCs w:val="20"/>
          <w:lang w:val="en-CA"/>
        </w:rPr>
        <w:t xml:space="preserve">, </w:t>
      </w:r>
      <w:r w:rsidR="00056CDF">
        <w:rPr>
          <w:rFonts w:ascii="Times New Roman" w:hAnsi="Times New Roman" w:cs="Times New Roman"/>
          <w:sz w:val="20"/>
          <w:szCs w:val="20"/>
          <w:lang w:val="en-CA"/>
        </w:rPr>
        <w:t>3</w:t>
      </w:r>
      <w:r w:rsidR="00791100">
        <w:rPr>
          <w:rFonts w:ascii="Times New Roman" w:hAnsi="Times New Roman" w:cs="Times New Roman"/>
          <w:sz w:val="20"/>
          <w:szCs w:val="20"/>
          <w:lang w:val="en-CA"/>
        </w:rPr>
        <w:t>0 days after outbreak starts</w:t>
      </w:r>
      <w:r w:rsidRPr="006A5FD1">
        <w:rPr>
          <w:rFonts w:ascii="Times New Roman" w:hAnsi="Times New Roman" w:cs="Times New Roman"/>
          <w:sz w:val="20"/>
          <w:szCs w:val="20"/>
          <w:lang w:val="en-CA"/>
        </w:rPr>
        <w:t xml:space="preserve"> (e.g. due to increase capacity in testing in the community)</w:t>
      </w:r>
      <w:r w:rsidR="008302BB">
        <w:rPr>
          <w:rFonts w:ascii="Times New Roman" w:hAnsi="Times New Roman" w:cs="Times New Roman"/>
          <w:sz w:val="20"/>
          <w:szCs w:val="20"/>
          <w:lang w:val="en-CA"/>
        </w:rPr>
        <w:t xml:space="preserve">; (E) </w:t>
      </w:r>
      <w:r w:rsidR="008302BB" w:rsidRPr="006A5FD1">
        <w:rPr>
          <w:rFonts w:ascii="Times New Roman" w:hAnsi="Times New Roman" w:cs="Times New Roman"/>
          <w:sz w:val="20"/>
          <w:szCs w:val="20"/>
          <w:lang w:val="en-CA"/>
        </w:rPr>
        <w:t>proportion of individuals with non-severe COVID-19 who are diagnosed and/or self-isolate</w:t>
      </w:r>
      <w:r w:rsidR="008302BB">
        <w:rPr>
          <w:rFonts w:ascii="Times New Roman" w:hAnsi="Times New Roman" w:cs="Times New Roman"/>
          <w:sz w:val="20"/>
          <w:szCs w:val="20"/>
          <w:lang w:val="en-CA"/>
        </w:rPr>
        <w:t>;</w:t>
      </w:r>
      <w:r w:rsidR="001576E0">
        <w:rPr>
          <w:rFonts w:ascii="Times New Roman" w:hAnsi="Times New Roman" w:cs="Times New Roman"/>
          <w:sz w:val="20"/>
          <w:szCs w:val="20"/>
          <w:lang w:val="en-CA"/>
        </w:rPr>
        <w:t xml:space="preserve"> within 30 days since outbreak starts;</w:t>
      </w:r>
      <w:r w:rsidR="008302BB">
        <w:rPr>
          <w:rFonts w:ascii="Times New Roman" w:hAnsi="Times New Roman" w:cs="Times New Roman"/>
          <w:sz w:val="20"/>
          <w:szCs w:val="20"/>
          <w:lang w:val="en-CA"/>
        </w:rPr>
        <w:t xml:space="preserve"> (F) proportion reduction in contact rates via social distancing, </w:t>
      </w:r>
      <w:r w:rsidR="00FF495C">
        <w:rPr>
          <w:rFonts w:ascii="Times New Roman" w:hAnsi="Times New Roman" w:cs="Times New Roman"/>
          <w:sz w:val="20"/>
          <w:szCs w:val="20"/>
          <w:lang w:val="en-CA"/>
        </w:rPr>
        <w:t>3</w:t>
      </w:r>
      <w:r w:rsidR="008302BB">
        <w:rPr>
          <w:rFonts w:ascii="Times New Roman" w:hAnsi="Times New Roman" w:cs="Times New Roman"/>
          <w:sz w:val="20"/>
          <w:szCs w:val="20"/>
          <w:lang w:val="en-CA"/>
        </w:rPr>
        <w:t xml:space="preserve">0 days after outbreak starts </w:t>
      </w:r>
      <w:r w:rsidR="008302BB" w:rsidRPr="006A5FD1">
        <w:rPr>
          <w:rFonts w:ascii="Times New Roman" w:hAnsi="Times New Roman" w:cs="Times New Roman"/>
          <w:sz w:val="20"/>
          <w:szCs w:val="20"/>
          <w:lang w:val="en-CA"/>
        </w:rPr>
        <w:t>(e.g. due to increase capacity in testing in the community)</w:t>
      </w:r>
      <w:r w:rsidR="008302BB">
        <w:rPr>
          <w:rFonts w:ascii="Times New Roman" w:hAnsi="Times New Roman" w:cs="Times New Roman"/>
          <w:sz w:val="20"/>
          <w:szCs w:val="20"/>
          <w:lang w:val="en-CA"/>
        </w:rPr>
        <w:t>; (G) R0 (1.4-1.9)</w:t>
      </w:r>
      <w:r w:rsidR="008302BB" w:rsidRPr="006A5FD1">
        <w:rPr>
          <w:rFonts w:ascii="Times New Roman" w:hAnsi="Times New Roman" w:cs="Times New Roman"/>
          <w:sz w:val="20"/>
          <w:szCs w:val="20"/>
          <w:lang w:val="en-CA"/>
        </w:rPr>
        <w:t>; (</w:t>
      </w:r>
      <w:r w:rsidR="008302BB">
        <w:rPr>
          <w:rFonts w:ascii="Times New Roman" w:hAnsi="Times New Roman" w:cs="Times New Roman"/>
          <w:sz w:val="20"/>
          <w:szCs w:val="20"/>
          <w:lang w:val="en-CA"/>
        </w:rPr>
        <w:t>H</w:t>
      </w:r>
      <w:r w:rsidR="008302BB" w:rsidRPr="006A5FD1">
        <w:rPr>
          <w:rFonts w:ascii="Times New Roman" w:hAnsi="Times New Roman" w:cs="Times New Roman"/>
          <w:sz w:val="20"/>
          <w:szCs w:val="20"/>
          <w:lang w:val="en-CA"/>
        </w:rPr>
        <w:t xml:space="preserve">) </w:t>
      </w:r>
      <w:r w:rsidR="008302BB">
        <w:rPr>
          <w:rFonts w:ascii="Times New Roman" w:hAnsi="Times New Roman" w:cs="Times New Roman"/>
          <w:sz w:val="20"/>
          <w:szCs w:val="20"/>
          <w:lang w:val="en-CA"/>
        </w:rPr>
        <w:t>R0 (2.0-3.0); (I) average length of ICU admission (days); and (J) proportion of individuals with severe COVID-19 who require ICU care</w:t>
      </w:r>
      <w:r w:rsidRPr="006A5FD1">
        <w:rPr>
          <w:rFonts w:ascii="Times New Roman" w:hAnsi="Times New Roman" w:cs="Times New Roman"/>
          <w:sz w:val="20"/>
          <w:szCs w:val="20"/>
          <w:lang w:val="en-CA"/>
        </w:rPr>
        <w:t xml:space="preserve">. </w:t>
      </w:r>
      <w:r w:rsidR="001576E0">
        <w:rPr>
          <w:rFonts w:ascii="Times New Roman" w:hAnsi="Times New Roman" w:cs="Times New Roman"/>
          <w:sz w:val="20"/>
          <w:szCs w:val="20"/>
          <w:lang w:val="en-CA"/>
        </w:rPr>
        <w:t xml:space="preserve">Note that the y-axis scales for figures are different. </w:t>
      </w:r>
      <w:r w:rsidRPr="006A5FD1">
        <w:rPr>
          <w:rFonts w:ascii="Times New Roman" w:hAnsi="Times New Roman" w:cs="Times New Roman"/>
          <w:sz w:val="20"/>
          <w:szCs w:val="20"/>
          <w:lang w:val="en-CA"/>
        </w:rPr>
        <w:t xml:space="preserve">Abbreviations: ICU: intensive care unit; SMH: St Michael’s Hospital; GTA: Greater Toronto Area. </w:t>
      </w:r>
    </w:p>
    <w:p w14:paraId="14B26336" w14:textId="649D2378" w:rsidR="00C04782" w:rsidRDefault="00C04782">
      <w:r>
        <w:br w:type="page"/>
      </w:r>
    </w:p>
    <w:p w14:paraId="63F124C1" w14:textId="77777777" w:rsidR="001863DD" w:rsidRDefault="001863DD" w:rsidP="00C04782">
      <w:pPr>
        <w:spacing w:after="0" w:line="240" w:lineRule="auto"/>
        <w:jc w:val="both"/>
        <w:rPr>
          <w:rFonts w:ascii="Times New Roman" w:hAnsi="Times New Roman" w:cs="Times New Roman"/>
          <w:b/>
          <w:bCs/>
          <w:sz w:val="20"/>
          <w:szCs w:val="20"/>
          <w:lang w:val="en-CA"/>
        </w:rPr>
      </w:pPr>
    </w:p>
    <w:p w14:paraId="7B66AE5F" w14:textId="2628413E" w:rsidR="00F1711A" w:rsidRPr="001576E0" w:rsidRDefault="006F63A2" w:rsidP="001576E0">
      <w:pPr>
        <w:spacing w:after="0" w:line="240" w:lineRule="auto"/>
        <w:jc w:val="both"/>
        <w:rPr>
          <w:rFonts w:ascii="Times New Roman" w:hAnsi="Times New Roman" w:cs="Times New Roman"/>
          <w:sz w:val="20"/>
          <w:szCs w:val="20"/>
          <w:lang w:val="en-CA"/>
        </w:rPr>
      </w:pPr>
      <w:r>
        <w:rPr>
          <w:rFonts w:ascii="Times New Roman" w:hAnsi="Times New Roman" w:cs="Times New Roman"/>
          <w:b/>
          <w:bCs/>
          <w:noProof/>
          <w:sz w:val="20"/>
          <w:szCs w:val="20"/>
        </w:rPr>
        <w:drawing>
          <wp:inline distT="0" distB="0" distL="0" distR="0" wp14:anchorId="058E6CB3" wp14:editId="78500591">
            <wp:extent cx="5936615" cy="6996430"/>
            <wp:effectExtent l="0" t="0" r="6985" b="0"/>
            <wp:docPr id="8" name="Picture 8" descr="C:\Users\MaH\Desktop\Covid Model\Rplot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H\Desktop\Covid Model\Rplot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6615" cy="6996430"/>
                    </a:xfrm>
                    <a:prstGeom prst="rect">
                      <a:avLst/>
                    </a:prstGeom>
                    <a:noFill/>
                    <a:ln>
                      <a:noFill/>
                    </a:ln>
                  </pic:spPr>
                </pic:pic>
              </a:graphicData>
            </a:graphic>
          </wp:inline>
        </w:drawing>
      </w:r>
      <w:r w:rsidR="00C04782" w:rsidRPr="000E7F34">
        <w:rPr>
          <w:rFonts w:ascii="Times New Roman" w:hAnsi="Times New Roman" w:cs="Times New Roman"/>
          <w:b/>
          <w:bCs/>
          <w:sz w:val="20"/>
          <w:szCs w:val="20"/>
          <w:lang w:val="en-CA"/>
        </w:rPr>
        <w:t>Appendix 2 for Figure 2.</w:t>
      </w:r>
      <w:r w:rsidR="00712296">
        <w:rPr>
          <w:rFonts w:ascii="Times New Roman" w:hAnsi="Times New Roman" w:cs="Times New Roman"/>
          <w:b/>
          <w:bCs/>
          <w:sz w:val="20"/>
          <w:szCs w:val="20"/>
          <w:lang w:val="en-CA"/>
        </w:rPr>
        <w:t>5</w:t>
      </w:r>
      <w:r w:rsidR="00C04782" w:rsidRPr="000E7F34">
        <w:rPr>
          <w:rFonts w:ascii="Times New Roman" w:hAnsi="Times New Roman" w:cs="Times New Roman"/>
          <w:b/>
          <w:bCs/>
          <w:sz w:val="20"/>
          <w:szCs w:val="20"/>
          <w:lang w:val="en-CA"/>
        </w:rPr>
        <w:t xml:space="preserve">. One-way sensitivity analyses using default epidemic scenario for prevalence of </w:t>
      </w:r>
      <w:r w:rsidR="00712296" w:rsidRPr="00003E0D">
        <w:rPr>
          <w:rFonts w:ascii="Times New Roman" w:hAnsi="Times New Roman" w:cs="Times New Roman"/>
          <w:b/>
          <w:bCs/>
          <w:sz w:val="20"/>
          <w:szCs w:val="20"/>
          <w:lang w:val="en-CA"/>
        </w:rPr>
        <w:t>non-</w:t>
      </w:r>
      <w:r w:rsidR="00C04782" w:rsidRPr="00003E0D">
        <w:rPr>
          <w:rFonts w:ascii="Times New Roman" w:hAnsi="Times New Roman" w:cs="Times New Roman"/>
          <w:b/>
          <w:bCs/>
          <w:sz w:val="20"/>
          <w:szCs w:val="20"/>
          <w:lang w:val="en-CA"/>
        </w:rPr>
        <w:t xml:space="preserve">ICU </w:t>
      </w:r>
      <w:r w:rsidR="00C04782" w:rsidRPr="006A5FD1">
        <w:rPr>
          <w:rFonts w:ascii="Times New Roman" w:hAnsi="Times New Roman" w:cs="Times New Roman"/>
          <w:b/>
          <w:bCs/>
          <w:sz w:val="20"/>
          <w:szCs w:val="20"/>
          <w:lang w:val="en-CA"/>
        </w:rPr>
        <w:t>inpatients with COVID-19 at St. Michael’s Hospital.</w:t>
      </w:r>
      <w:r w:rsidR="00C04782" w:rsidRPr="006A5FD1">
        <w:rPr>
          <w:rFonts w:ascii="Times New Roman" w:hAnsi="Times New Roman" w:cs="Times New Roman"/>
          <w:sz w:val="20"/>
          <w:szCs w:val="20"/>
          <w:lang w:val="en-CA"/>
        </w:rPr>
        <w:t xml:space="preserve"> </w:t>
      </w:r>
      <w:r w:rsidR="00C04782" w:rsidRPr="006A5FD1">
        <w:rPr>
          <w:rFonts w:ascii="Times New Roman" w:hAnsi="Times New Roman" w:cs="Times New Roman"/>
          <w:sz w:val="20"/>
          <w:szCs w:val="20"/>
        </w:rPr>
        <w:t xml:space="preserve"> </w:t>
      </w:r>
      <w:r w:rsidR="00C04782" w:rsidRPr="006A5FD1">
        <w:rPr>
          <w:rFonts w:ascii="Times New Roman" w:hAnsi="Times New Roman" w:cs="Times New Roman"/>
          <w:sz w:val="20"/>
          <w:szCs w:val="20"/>
          <w:lang w:val="en-CA"/>
        </w:rPr>
        <w:t xml:space="preserve">The influence of </w:t>
      </w:r>
      <w:r w:rsidR="00434461">
        <w:rPr>
          <w:rFonts w:ascii="Times New Roman" w:hAnsi="Times New Roman" w:cs="Times New Roman"/>
          <w:sz w:val="20"/>
          <w:szCs w:val="20"/>
          <w:lang w:val="en-CA"/>
        </w:rPr>
        <w:t xml:space="preserve">(A) </w:t>
      </w:r>
      <w:r w:rsidR="00434461" w:rsidRPr="006A5FD1">
        <w:rPr>
          <w:rFonts w:ascii="Times New Roman" w:hAnsi="Times New Roman" w:cs="Times New Roman"/>
          <w:sz w:val="20"/>
          <w:szCs w:val="20"/>
          <w:lang w:val="en-CA"/>
        </w:rPr>
        <w:t>proportion of individuals with non-severe COVID-19 who are diagnosed and/or self-isolate</w:t>
      </w:r>
      <w:r w:rsidR="001576E0">
        <w:rPr>
          <w:rFonts w:ascii="Times New Roman" w:hAnsi="Times New Roman" w:cs="Times New Roman"/>
          <w:sz w:val="20"/>
          <w:szCs w:val="20"/>
          <w:lang w:val="en-CA"/>
        </w:rPr>
        <w:t>, within 30 days since outbreak starts</w:t>
      </w:r>
      <w:r w:rsidR="00434461">
        <w:rPr>
          <w:rFonts w:ascii="Times New Roman" w:hAnsi="Times New Roman" w:cs="Times New Roman"/>
          <w:sz w:val="20"/>
          <w:szCs w:val="20"/>
          <w:lang w:val="en-CA"/>
        </w:rPr>
        <w:t>; (B) proportion reduction in contac</w:t>
      </w:r>
      <w:r w:rsidR="004B1E61">
        <w:rPr>
          <w:rFonts w:ascii="Times New Roman" w:hAnsi="Times New Roman" w:cs="Times New Roman"/>
          <w:sz w:val="20"/>
          <w:szCs w:val="20"/>
          <w:lang w:val="en-CA"/>
        </w:rPr>
        <w:t>t rates via social distancing, 3</w:t>
      </w:r>
      <w:r w:rsidR="00434461">
        <w:rPr>
          <w:rFonts w:ascii="Times New Roman" w:hAnsi="Times New Roman" w:cs="Times New Roman"/>
          <w:sz w:val="20"/>
          <w:szCs w:val="20"/>
          <w:lang w:val="en-CA"/>
        </w:rPr>
        <w:t xml:space="preserve">0 days after outbreak starts </w:t>
      </w:r>
      <w:r w:rsidR="00434461" w:rsidRPr="006A5FD1">
        <w:rPr>
          <w:rFonts w:ascii="Times New Roman" w:hAnsi="Times New Roman" w:cs="Times New Roman"/>
          <w:sz w:val="20"/>
          <w:szCs w:val="20"/>
          <w:lang w:val="en-CA"/>
        </w:rPr>
        <w:t>(e.g. due to increase capacity in testing in the community)</w:t>
      </w:r>
      <w:r w:rsidR="00434461">
        <w:rPr>
          <w:rFonts w:ascii="Times New Roman" w:hAnsi="Times New Roman" w:cs="Times New Roman"/>
          <w:sz w:val="20"/>
          <w:szCs w:val="20"/>
          <w:lang w:val="en-CA"/>
        </w:rPr>
        <w:t xml:space="preserve">; </w:t>
      </w:r>
      <w:r w:rsidR="0072048B" w:rsidRPr="006A5FD1">
        <w:rPr>
          <w:rFonts w:ascii="Times New Roman" w:hAnsi="Times New Roman" w:cs="Times New Roman"/>
          <w:sz w:val="20"/>
          <w:szCs w:val="20"/>
          <w:lang w:val="en-CA"/>
        </w:rPr>
        <w:t>(</w:t>
      </w:r>
      <w:r w:rsidR="00434461">
        <w:rPr>
          <w:rFonts w:ascii="Times New Roman" w:hAnsi="Times New Roman" w:cs="Times New Roman"/>
          <w:sz w:val="20"/>
          <w:szCs w:val="20"/>
          <w:lang w:val="en-CA"/>
        </w:rPr>
        <w:t>C</w:t>
      </w:r>
      <w:r w:rsidR="0072048B" w:rsidRPr="006A5FD1">
        <w:rPr>
          <w:rFonts w:ascii="Times New Roman" w:hAnsi="Times New Roman" w:cs="Times New Roman"/>
          <w:sz w:val="20"/>
          <w:szCs w:val="20"/>
          <w:lang w:val="en-CA"/>
        </w:rPr>
        <w:t xml:space="preserve">) </w:t>
      </w:r>
      <w:r w:rsidR="0072048B">
        <w:rPr>
          <w:rFonts w:ascii="Times New Roman" w:hAnsi="Times New Roman" w:cs="Times New Roman"/>
          <w:sz w:val="20"/>
          <w:szCs w:val="20"/>
          <w:lang w:val="en-CA"/>
        </w:rPr>
        <w:t>R0 (1.4-1.9)</w:t>
      </w:r>
      <w:r w:rsidR="008302BB">
        <w:rPr>
          <w:rFonts w:ascii="Times New Roman" w:hAnsi="Times New Roman" w:cs="Times New Roman"/>
          <w:sz w:val="20"/>
          <w:szCs w:val="20"/>
          <w:lang w:val="en-CA"/>
        </w:rPr>
        <w:t>;</w:t>
      </w:r>
      <w:r w:rsidR="0072048B" w:rsidRPr="006A5FD1">
        <w:rPr>
          <w:rFonts w:ascii="Times New Roman" w:hAnsi="Times New Roman" w:cs="Times New Roman"/>
          <w:sz w:val="20"/>
          <w:szCs w:val="20"/>
          <w:lang w:val="en-CA"/>
        </w:rPr>
        <w:t xml:space="preserve"> (</w:t>
      </w:r>
      <w:r w:rsidR="00434461">
        <w:rPr>
          <w:rFonts w:ascii="Times New Roman" w:hAnsi="Times New Roman" w:cs="Times New Roman"/>
          <w:sz w:val="20"/>
          <w:szCs w:val="20"/>
          <w:lang w:val="en-CA"/>
        </w:rPr>
        <w:t>D</w:t>
      </w:r>
      <w:r w:rsidR="0072048B" w:rsidRPr="006A5FD1">
        <w:rPr>
          <w:rFonts w:ascii="Times New Roman" w:hAnsi="Times New Roman" w:cs="Times New Roman"/>
          <w:sz w:val="20"/>
          <w:szCs w:val="20"/>
          <w:lang w:val="en-CA"/>
        </w:rPr>
        <w:t xml:space="preserve">) </w:t>
      </w:r>
      <w:r w:rsidR="0072048B">
        <w:rPr>
          <w:rFonts w:ascii="Times New Roman" w:hAnsi="Times New Roman" w:cs="Times New Roman"/>
          <w:sz w:val="20"/>
          <w:szCs w:val="20"/>
          <w:lang w:val="en-CA"/>
        </w:rPr>
        <w:t>R0 (2.0-3.0)</w:t>
      </w:r>
      <w:r w:rsidR="000F127F">
        <w:rPr>
          <w:rFonts w:ascii="Times New Roman" w:hAnsi="Times New Roman" w:cs="Times New Roman"/>
          <w:sz w:val="20"/>
          <w:szCs w:val="20"/>
          <w:lang w:val="en-CA"/>
        </w:rPr>
        <w:t xml:space="preserve">; </w:t>
      </w:r>
      <w:r w:rsidR="00426C04" w:rsidRPr="006A5FD1">
        <w:rPr>
          <w:rFonts w:ascii="Times New Roman" w:hAnsi="Times New Roman" w:cs="Times New Roman"/>
          <w:sz w:val="20"/>
          <w:szCs w:val="20"/>
          <w:lang w:val="en-CA"/>
        </w:rPr>
        <w:t xml:space="preserve">and </w:t>
      </w:r>
      <w:r w:rsidR="00C04782" w:rsidRPr="006A5FD1">
        <w:rPr>
          <w:rFonts w:ascii="Times New Roman" w:hAnsi="Times New Roman" w:cs="Times New Roman"/>
          <w:sz w:val="20"/>
          <w:szCs w:val="20"/>
          <w:lang w:val="en-CA"/>
        </w:rPr>
        <w:t>(</w:t>
      </w:r>
      <w:r w:rsidR="00434461">
        <w:rPr>
          <w:rFonts w:ascii="Times New Roman" w:hAnsi="Times New Roman" w:cs="Times New Roman"/>
          <w:sz w:val="20"/>
          <w:szCs w:val="20"/>
          <w:lang w:val="en-CA"/>
        </w:rPr>
        <w:t>E</w:t>
      </w:r>
      <w:r w:rsidR="00C04782" w:rsidRPr="006A5FD1">
        <w:rPr>
          <w:rFonts w:ascii="Times New Roman" w:hAnsi="Times New Roman" w:cs="Times New Roman"/>
          <w:sz w:val="20"/>
          <w:szCs w:val="20"/>
          <w:lang w:val="en-CA"/>
        </w:rPr>
        <w:t xml:space="preserve">) </w:t>
      </w:r>
      <w:r w:rsidR="000F127F" w:rsidRPr="000F127F">
        <w:rPr>
          <w:rFonts w:ascii="Times New Roman" w:hAnsi="Times New Roman" w:cs="Times New Roman"/>
          <w:sz w:val="20"/>
          <w:szCs w:val="20"/>
          <w:lang w:val="en-CA"/>
        </w:rPr>
        <w:t>Average length of non-ICU hospitalization (days)</w:t>
      </w:r>
      <w:r w:rsidR="00434461">
        <w:rPr>
          <w:rFonts w:ascii="Times New Roman" w:hAnsi="Times New Roman" w:cs="Times New Roman"/>
          <w:sz w:val="20"/>
          <w:szCs w:val="20"/>
          <w:lang w:val="en-CA"/>
        </w:rPr>
        <w:t>.</w:t>
      </w:r>
      <w:r w:rsidR="00C04782" w:rsidRPr="006A5FD1">
        <w:rPr>
          <w:rFonts w:ascii="Times New Roman" w:hAnsi="Times New Roman" w:cs="Times New Roman"/>
          <w:sz w:val="20"/>
          <w:szCs w:val="20"/>
          <w:lang w:val="en-CA"/>
        </w:rPr>
        <w:t xml:space="preserve"> Abbreviations: ICU: intensive care unit; SMH: St Michael’s Hospital; GTA: Greater Toronto Area. </w:t>
      </w:r>
    </w:p>
    <w:sectPr w:rsidR="00F1711A" w:rsidRPr="001576E0" w:rsidSect="002E2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E04DD5"/>
    <w:multiLevelType w:val="hybridMultilevel"/>
    <w:tmpl w:val="6916D4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415"/>
    <w:rsid w:val="00003E0D"/>
    <w:rsid w:val="00052F6D"/>
    <w:rsid w:val="00056CDF"/>
    <w:rsid w:val="000619E6"/>
    <w:rsid w:val="0008479D"/>
    <w:rsid w:val="00086E44"/>
    <w:rsid w:val="00093516"/>
    <w:rsid w:val="00093525"/>
    <w:rsid w:val="000B1383"/>
    <w:rsid w:val="000B6608"/>
    <w:rsid w:val="000E7F34"/>
    <w:rsid w:val="000F127F"/>
    <w:rsid w:val="0011708A"/>
    <w:rsid w:val="001576E0"/>
    <w:rsid w:val="00166969"/>
    <w:rsid w:val="001863DD"/>
    <w:rsid w:val="0023792F"/>
    <w:rsid w:val="002E2525"/>
    <w:rsid w:val="003130AC"/>
    <w:rsid w:val="00323BD3"/>
    <w:rsid w:val="00356415"/>
    <w:rsid w:val="003A4010"/>
    <w:rsid w:val="003B60ED"/>
    <w:rsid w:val="003C636C"/>
    <w:rsid w:val="003E26D9"/>
    <w:rsid w:val="003E4DF8"/>
    <w:rsid w:val="00426C04"/>
    <w:rsid w:val="00434461"/>
    <w:rsid w:val="00461779"/>
    <w:rsid w:val="00466BD3"/>
    <w:rsid w:val="00485508"/>
    <w:rsid w:val="004940E1"/>
    <w:rsid w:val="004B1E61"/>
    <w:rsid w:val="004C03DF"/>
    <w:rsid w:val="004C7699"/>
    <w:rsid w:val="004D1759"/>
    <w:rsid w:val="00626952"/>
    <w:rsid w:val="006473B4"/>
    <w:rsid w:val="006807FE"/>
    <w:rsid w:val="00681EEA"/>
    <w:rsid w:val="006939EC"/>
    <w:rsid w:val="006A5FD1"/>
    <w:rsid w:val="006D5361"/>
    <w:rsid w:val="006F63A2"/>
    <w:rsid w:val="007117D2"/>
    <w:rsid w:val="00712296"/>
    <w:rsid w:val="00715564"/>
    <w:rsid w:val="0072048B"/>
    <w:rsid w:val="00723C32"/>
    <w:rsid w:val="00750844"/>
    <w:rsid w:val="00754774"/>
    <w:rsid w:val="0075661E"/>
    <w:rsid w:val="00791100"/>
    <w:rsid w:val="0079339E"/>
    <w:rsid w:val="008302BB"/>
    <w:rsid w:val="00853720"/>
    <w:rsid w:val="00863051"/>
    <w:rsid w:val="00874C7E"/>
    <w:rsid w:val="008C15FA"/>
    <w:rsid w:val="00935EE0"/>
    <w:rsid w:val="00951493"/>
    <w:rsid w:val="00980221"/>
    <w:rsid w:val="009D2B47"/>
    <w:rsid w:val="00A86607"/>
    <w:rsid w:val="00AC54C4"/>
    <w:rsid w:val="00AE613B"/>
    <w:rsid w:val="00B66495"/>
    <w:rsid w:val="00BD48B7"/>
    <w:rsid w:val="00C04782"/>
    <w:rsid w:val="00C05C63"/>
    <w:rsid w:val="00C42BEE"/>
    <w:rsid w:val="00C66434"/>
    <w:rsid w:val="00C728A5"/>
    <w:rsid w:val="00C83390"/>
    <w:rsid w:val="00CE2F9D"/>
    <w:rsid w:val="00CE4635"/>
    <w:rsid w:val="00D50D61"/>
    <w:rsid w:val="00E01875"/>
    <w:rsid w:val="00E45CF3"/>
    <w:rsid w:val="00E47898"/>
    <w:rsid w:val="00E52065"/>
    <w:rsid w:val="00E54758"/>
    <w:rsid w:val="00E67031"/>
    <w:rsid w:val="00E744E5"/>
    <w:rsid w:val="00EE733B"/>
    <w:rsid w:val="00F027C4"/>
    <w:rsid w:val="00F1711A"/>
    <w:rsid w:val="00F25310"/>
    <w:rsid w:val="00F32408"/>
    <w:rsid w:val="00FF4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FF5ED"/>
  <w15:docId w15:val="{0ADE336C-F1D8-43F2-A6DD-9DE8536B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310"/>
    <w:rPr>
      <w:rFonts w:ascii="Tahoma" w:hAnsi="Tahoma" w:cs="Tahoma"/>
      <w:sz w:val="16"/>
      <w:szCs w:val="16"/>
    </w:rPr>
  </w:style>
  <w:style w:type="character" w:styleId="CommentReference">
    <w:name w:val="annotation reference"/>
    <w:basedOn w:val="DefaultParagraphFont"/>
    <w:uiPriority w:val="99"/>
    <w:semiHidden/>
    <w:unhideWhenUsed/>
    <w:rsid w:val="00E67031"/>
    <w:rPr>
      <w:sz w:val="16"/>
      <w:szCs w:val="16"/>
    </w:rPr>
  </w:style>
  <w:style w:type="paragraph" w:styleId="CommentText">
    <w:name w:val="annotation text"/>
    <w:basedOn w:val="Normal"/>
    <w:link w:val="CommentTextChar"/>
    <w:uiPriority w:val="99"/>
    <w:unhideWhenUsed/>
    <w:rsid w:val="00E67031"/>
    <w:pPr>
      <w:spacing w:line="240" w:lineRule="auto"/>
    </w:pPr>
    <w:rPr>
      <w:sz w:val="20"/>
      <w:szCs w:val="20"/>
    </w:rPr>
  </w:style>
  <w:style w:type="character" w:customStyle="1" w:styleId="CommentTextChar">
    <w:name w:val="Comment Text Char"/>
    <w:basedOn w:val="DefaultParagraphFont"/>
    <w:link w:val="CommentText"/>
    <w:uiPriority w:val="99"/>
    <w:rsid w:val="00E67031"/>
    <w:rPr>
      <w:sz w:val="20"/>
      <w:szCs w:val="20"/>
    </w:rPr>
  </w:style>
  <w:style w:type="paragraph" w:styleId="CommentSubject">
    <w:name w:val="annotation subject"/>
    <w:basedOn w:val="CommentText"/>
    <w:next w:val="CommentText"/>
    <w:link w:val="CommentSubjectChar"/>
    <w:uiPriority w:val="99"/>
    <w:semiHidden/>
    <w:unhideWhenUsed/>
    <w:rsid w:val="00E67031"/>
    <w:rPr>
      <w:b/>
      <w:bCs/>
    </w:rPr>
  </w:style>
  <w:style w:type="character" w:customStyle="1" w:styleId="CommentSubjectChar">
    <w:name w:val="Comment Subject Char"/>
    <w:basedOn w:val="CommentTextChar"/>
    <w:link w:val="CommentSubject"/>
    <w:uiPriority w:val="99"/>
    <w:semiHidden/>
    <w:rsid w:val="00E67031"/>
    <w:rPr>
      <w:b/>
      <w:bCs/>
      <w:sz w:val="20"/>
      <w:szCs w:val="20"/>
    </w:rPr>
  </w:style>
  <w:style w:type="paragraph" w:styleId="Revision">
    <w:name w:val="Revision"/>
    <w:hidden/>
    <w:uiPriority w:val="99"/>
    <w:semiHidden/>
    <w:rsid w:val="001669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347907">
      <w:bodyDiv w:val="1"/>
      <w:marLeft w:val="0"/>
      <w:marRight w:val="0"/>
      <w:marTop w:val="0"/>
      <w:marBottom w:val="0"/>
      <w:divBdr>
        <w:top w:val="none" w:sz="0" w:space="0" w:color="auto"/>
        <w:left w:val="none" w:sz="0" w:space="0" w:color="auto"/>
        <w:bottom w:val="none" w:sz="0" w:space="0" w:color="auto"/>
        <w:right w:val="none" w:sz="0" w:space="0" w:color="auto"/>
      </w:divBdr>
    </w:div>
    <w:div w:id="627124577">
      <w:bodyDiv w:val="1"/>
      <w:marLeft w:val="0"/>
      <w:marRight w:val="0"/>
      <w:marTop w:val="0"/>
      <w:marBottom w:val="0"/>
      <w:divBdr>
        <w:top w:val="none" w:sz="0" w:space="0" w:color="auto"/>
        <w:left w:val="none" w:sz="0" w:space="0" w:color="auto"/>
        <w:bottom w:val="none" w:sz="0" w:space="0" w:color="auto"/>
        <w:right w:val="none" w:sz="0" w:space="0" w:color="auto"/>
      </w:divBdr>
    </w:div>
    <w:div w:id="858589559">
      <w:bodyDiv w:val="1"/>
      <w:marLeft w:val="0"/>
      <w:marRight w:val="0"/>
      <w:marTop w:val="0"/>
      <w:marBottom w:val="0"/>
      <w:divBdr>
        <w:top w:val="none" w:sz="0" w:space="0" w:color="auto"/>
        <w:left w:val="none" w:sz="0" w:space="0" w:color="auto"/>
        <w:bottom w:val="none" w:sz="0" w:space="0" w:color="auto"/>
        <w:right w:val="none" w:sz="0" w:space="0" w:color="auto"/>
      </w:divBdr>
    </w:div>
    <w:div w:id="1143110879">
      <w:bodyDiv w:val="1"/>
      <w:marLeft w:val="0"/>
      <w:marRight w:val="0"/>
      <w:marTop w:val="0"/>
      <w:marBottom w:val="0"/>
      <w:divBdr>
        <w:top w:val="none" w:sz="0" w:space="0" w:color="auto"/>
        <w:left w:val="none" w:sz="0" w:space="0" w:color="auto"/>
        <w:bottom w:val="none" w:sz="0" w:space="0" w:color="auto"/>
        <w:right w:val="none" w:sz="0" w:space="0" w:color="auto"/>
      </w:divBdr>
    </w:div>
    <w:div w:id="1345590536">
      <w:bodyDiv w:val="1"/>
      <w:marLeft w:val="0"/>
      <w:marRight w:val="0"/>
      <w:marTop w:val="0"/>
      <w:marBottom w:val="0"/>
      <w:divBdr>
        <w:top w:val="none" w:sz="0" w:space="0" w:color="auto"/>
        <w:left w:val="none" w:sz="0" w:space="0" w:color="auto"/>
        <w:bottom w:val="none" w:sz="0" w:space="0" w:color="auto"/>
        <w:right w:val="none" w:sz="0" w:space="0" w:color="auto"/>
      </w:divBdr>
    </w:div>
    <w:div w:id="1846286030">
      <w:bodyDiv w:val="1"/>
      <w:marLeft w:val="0"/>
      <w:marRight w:val="0"/>
      <w:marTop w:val="0"/>
      <w:marBottom w:val="0"/>
      <w:divBdr>
        <w:top w:val="none" w:sz="0" w:space="0" w:color="auto"/>
        <w:left w:val="none" w:sz="0" w:space="0" w:color="auto"/>
        <w:bottom w:val="none" w:sz="0" w:space="0" w:color="auto"/>
        <w:right w:val="none" w:sz="0" w:space="0" w:color="auto"/>
      </w:divBdr>
    </w:div>
    <w:div w:id="194033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BF4EA-7E12-4800-9620-34DB3A82A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Linwei Wang</dc:creator>
  <cp:lastModifiedBy>K. Yiu</cp:lastModifiedBy>
  <cp:revision>4</cp:revision>
  <dcterms:created xsi:type="dcterms:W3CDTF">2020-04-20T16:35:00Z</dcterms:created>
  <dcterms:modified xsi:type="dcterms:W3CDTF">2020-04-20T17:33:00Z</dcterms:modified>
</cp:coreProperties>
</file>